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9C556" w14:textId="05D33C48" w:rsidR="00673D24" w:rsidRPr="0072078A" w:rsidRDefault="00C44970" w:rsidP="00426584">
      <w:pPr>
        <w:jc w:val="center"/>
        <w:rPr>
          <w:rFonts w:ascii="Times New Roman" w:hAnsi="Times New Roman"/>
        </w:rPr>
      </w:pPr>
      <w:r w:rsidRPr="00EE3315">
        <w:rPr>
          <w:noProof/>
        </w:rPr>
        <w:drawing>
          <wp:inline distT="0" distB="0" distL="0" distR="0" wp14:anchorId="5254D355" wp14:editId="1FC4FC1A">
            <wp:extent cx="2314575" cy="457200"/>
            <wp:effectExtent l="0" t="0" r="952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457200"/>
                    </a:xfrm>
                    <a:prstGeom prst="rect">
                      <a:avLst/>
                    </a:prstGeom>
                    <a:noFill/>
                    <a:ln>
                      <a:noFill/>
                    </a:ln>
                  </pic:spPr>
                </pic:pic>
              </a:graphicData>
            </a:graphic>
          </wp:inline>
        </w:drawing>
      </w:r>
    </w:p>
    <w:p w14:paraId="38D4F256" w14:textId="77777777" w:rsidR="00C44970" w:rsidRPr="00591D4C" w:rsidRDefault="00C44970" w:rsidP="00C44970">
      <w:pPr>
        <w:autoSpaceDE w:val="0"/>
        <w:autoSpaceDN w:val="0"/>
        <w:adjustRightInd w:val="0"/>
        <w:ind w:left="360"/>
        <w:rPr>
          <w:rFonts w:ascii="Times New Roman" w:hAnsi="Times New Roman"/>
          <w:b/>
          <w:szCs w:val="22"/>
        </w:rPr>
      </w:pPr>
    </w:p>
    <w:p w14:paraId="5C61A6B5" w14:textId="77777777" w:rsidR="00C44970" w:rsidRPr="00591D4C" w:rsidRDefault="00C44970" w:rsidP="00C44970">
      <w:pPr>
        <w:autoSpaceDE w:val="0"/>
        <w:autoSpaceDN w:val="0"/>
        <w:adjustRightInd w:val="0"/>
        <w:ind w:left="360"/>
        <w:rPr>
          <w:rFonts w:ascii="Times New Roman" w:hAnsi="Times New Roman"/>
          <w:b/>
          <w:szCs w:val="22"/>
        </w:rPr>
      </w:pPr>
    </w:p>
    <w:p w14:paraId="294542F3" w14:textId="77777777" w:rsidR="00C44970" w:rsidRPr="001043D0" w:rsidRDefault="00C44970" w:rsidP="00C44970">
      <w:pPr>
        <w:autoSpaceDE w:val="0"/>
        <w:autoSpaceDN w:val="0"/>
        <w:adjustRightInd w:val="0"/>
        <w:ind w:left="360"/>
        <w:rPr>
          <w:b/>
          <w:sz w:val="40"/>
          <w:szCs w:val="22"/>
        </w:rPr>
      </w:pPr>
    </w:p>
    <w:p w14:paraId="61262BE8" w14:textId="77777777" w:rsidR="00C44970" w:rsidRPr="001043D0" w:rsidRDefault="00C44970" w:rsidP="00C44970">
      <w:pPr>
        <w:pStyle w:val="Titre"/>
        <w:rPr>
          <w:rFonts w:ascii="Cambria" w:hAnsi="Cambria"/>
          <w:color w:val="1F497D"/>
          <w:sz w:val="40"/>
        </w:rPr>
      </w:pPr>
      <w:r w:rsidRPr="001043D0">
        <w:rPr>
          <w:rFonts w:ascii="Cambria" w:hAnsi="Cambria"/>
          <w:color w:val="1F497D"/>
          <w:sz w:val="40"/>
        </w:rPr>
        <w:t>MARCHES PUBLICS</w:t>
      </w:r>
    </w:p>
    <w:p w14:paraId="106F5600" w14:textId="77777777" w:rsidR="00C44970" w:rsidRPr="001043D0" w:rsidRDefault="00C44970" w:rsidP="00C44970">
      <w:pPr>
        <w:pStyle w:val="Titre"/>
        <w:rPr>
          <w:rFonts w:ascii="Cambria" w:hAnsi="Cambria"/>
          <w:color w:val="1F497D"/>
          <w:sz w:val="40"/>
        </w:rPr>
      </w:pPr>
      <w:r w:rsidRPr="001043D0">
        <w:rPr>
          <w:rFonts w:ascii="Cambria" w:hAnsi="Cambria"/>
          <w:color w:val="1F497D"/>
          <w:sz w:val="40"/>
        </w:rPr>
        <w:t xml:space="preserve"> DE FOURNITURES COURANTES ET SERVICES</w:t>
      </w:r>
    </w:p>
    <w:p w14:paraId="1A42F500" w14:textId="77777777" w:rsidR="00C44970" w:rsidRPr="001043D0" w:rsidRDefault="00C44970" w:rsidP="00C44970">
      <w:pPr>
        <w:ind w:right="-851"/>
        <w:rPr>
          <w:color w:val="1F497D"/>
          <w:szCs w:val="22"/>
        </w:rPr>
      </w:pPr>
    </w:p>
    <w:p w14:paraId="15BDC0EB" w14:textId="77777777" w:rsidR="00C44970" w:rsidRPr="001043D0" w:rsidRDefault="00C44970" w:rsidP="00C44970">
      <w:pPr>
        <w:ind w:right="-851"/>
        <w:rPr>
          <w:color w:val="1F497D"/>
          <w:szCs w:val="22"/>
        </w:rPr>
      </w:pPr>
    </w:p>
    <w:p w14:paraId="2B9EA887" w14:textId="77777777" w:rsidR="00C44970" w:rsidRPr="001043D0" w:rsidRDefault="00C44970" w:rsidP="00C44970">
      <w:pPr>
        <w:ind w:right="-851"/>
        <w:rPr>
          <w:color w:val="1F497D"/>
          <w:szCs w:val="22"/>
        </w:rPr>
      </w:pPr>
    </w:p>
    <w:p w14:paraId="00B3FC84" w14:textId="77777777" w:rsidR="00C44970" w:rsidRPr="001043D0" w:rsidRDefault="00C44970" w:rsidP="00C44970">
      <w:pPr>
        <w:ind w:right="-851"/>
        <w:jc w:val="center"/>
        <w:rPr>
          <w:b/>
          <w:color w:val="1F497D"/>
          <w:sz w:val="28"/>
        </w:rPr>
      </w:pPr>
      <w:r w:rsidRPr="001043D0">
        <w:rPr>
          <w:b/>
          <w:color w:val="1F497D"/>
          <w:sz w:val="28"/>
        </w:rPr>
        <w:t>INSTITUT D’ADMINISTRATION DES ENTREPRISES DE PARIS</w:t>
      </w:r>
    </w:p>
    <w:p w14:paraId="13EB13A5" w14:textId="77777777" w:rsidR="00C44970" w:rsidRPr="001043D0" w:rsidRDefault="00C44970" w:rsidP="00C44970">
      <w:pPr>
        <w:ind w:right="-851"/>
        <w:jc w:val="center"/>
        <w:rPr>
          <w:b/>
          <w:color w:val="1F497D"/>
          <w:sz w:val="28"/>
        </w:rPr>
      </w:pPr>
      <w:r w:rsidRPr="001043D0">
        <w:rPr>
          <w:b/>
          <w:color w:val="1F497D"/>
          <w:sz w:val="28"/>
        </w:rPr>
        <w:t>(IAE de Paris)</w:t>
      </w:r>
    </w:p>
    <w:p w14:paraId="3C5D638E" w14:textId="3FD58D15" w:rsidR="00C44970" w:rsidRPr="001043D0" w:rsidRDefault="00C44970" w:rsidP="00C44970">
      <w:pPr>
        <w:ind w:right="-851"/>
        <w:jc w:val="center"/>
        <w:rPr>
          <w:b/>
          <w:color w:val="1F497D"/>
          <w:sz w:val="28"/>
        </w:rPr>
      </w:pPr>
      <w:r>
        <w:rPr>
          <w:b/>
          <w:color w:val="1F497D"/>
          <w:sz w:val="28"/>
        </w:rPr>
        <w:t>8bis rue de la Croix J</w:t>
      </w:r>
      <w:r w:rsidRPr="001043D0">
        <w:rPr>
          <w:b/>
          <w:color w:val="1F497D"/>
          <w:sz w:val="28"/>
        </w:rPr>
        <w:t>arry – 75644 PARIS Cédex 13</w:t>
      </w:r>
    </w:p>
    <w:p w14:paraId="65C10FEB" w14:textId="77777777" w:rsidR="00C44970" w:rsidRPr="001043D0" w:rsidRDefault="00C44970" w:rsidP="00C44970">
      <w:pPr>
        <w:rPr>
          <w:color w:val="1F497D"/>
        </w:rPr>
      </w:pPr>
    </w:p>
    <w:p w14:paraId="3A8C9DE9" w14:textId="77777777" w:rsidR="00C44970" w:rsidRPr="001043D0" w:rsidRDefault="00C44970" w:rsidP="00C44970">
      <w:pPr>
        <w:rPr>
          <w:color w:val="1F497D"/>
        </w:rPr>
      </w:pPr>
    </w:p>
    <w:p w14:paraId="3F92D0EE" w14:textId="77777777" w:rsidR="00C44970" w:rsidRPr="001043D0" w:rsidRDefault="00C44970" w:rsidP="00C44970">
      <w:pPr>
        <w:framePr w:hSpace="142" w:wrap="notBeside" w:vAnchor="text" w:hAnchor="page" w:xAlign="center" w:y="1"/>
        <w:jc w:val="center"/>
      </w:pPr>
    </w:p>
    <w:p w14:paraId="1A36F9F6" w14:textId="77777777" w:rsidR="00C44970" w:rsidRPr="001043D0" w:rsidRDefault="00C44970" w:rsidP="00C44970">
      <w:pPr>
        <w:pStyle w:val="Titre"/>
        <w:pBdr>
          <w:top w:val="double" w:sz="4" w:space="1" w:color="auto"/>
          <w:left w:val="double" w:sz="4" w:space="4" w:color="auto"/>
          <w:bottom w:val="double" w:sz="4" w:space="1" w:color="auto"/>
          <w:right w:val="double" w:sz="4" w:space="4" w:color="auto"/>
        </w:pBdr>
        <w:shd w:val="clear" w:color="auto" w:fill="244061"/>
        <w:ind w:left="567" w:right="424"/>
        <w:rPr>
          <w:rFonts w:ascii="Cambria" w:hAnsi="Cambria"/>
          <w:color w:val="FFFFFF"/>
          <w:szCs w:val="28"/>
        </w:rPr>
      </w:pPr>
    </w:p>
    <w:p w14:paraId="4A2014E7" w14:textId="77777777" w:rsidR="00C44970" w:rsidRPr="001043D0" w:rsidRDefault="00C44970" w:rsidP="00C44970">
      <w:pPr>
        <w:pStyle w:val="Titre"/>
        <w:pBdr>
          <w:top w:val="double" w:sz="4" w:space="1" w:color="auto"/>
          <w:left w:val="double" w:sz="4" w:space="4" w:color="auto"/>
          <w:bottom w:val="double" w:sz="4" w:space="1" w:color="auto"/>
          <w:right w:val="double" w:sz="4" w:space="4" w:color="auto"/>
        </w:pBdr>
        <w:shd w:val="clear" w:color="auto" w:fill="244061"/>
        <w:ind w:left="567" w:right="424"/>
        <w:rPr>
          <w:rFonts w:ascii="Cambria" w:hAnsi="Cambria"/>
          <w:color w:val="FFFFFF"/>
          <w:sz w:val="40"/>
          <w:szCs w:val="40"/>
        </w:rPr>
      </w:pPr>
      <w:r w:rsidRPr="001043D0">
        <w:rPr>
          <w:rFonts w:ascii="Cambria" w:hAnsi="Cambria"/>
          <w:color w:val="FFFFFF"/>
          <w:sz w:val="40"/>
          <w:szCs w:val="40"/>
        </w:rPr>
        <w:t>Refonte du site web de l’IAE de Paris</w:t>
      </w:r>
    </w:p>
    <w:p w14:paraId="4BCEC725" w14:textId="77777777" w:rsidR="00C44970" w:rsidRPr="001043D0" w:rsidRDefault="00C44970" w:rsidP="00C44970">
      <w:pPr>
        <w:pStyle w:val="Titre"/>
        <w:pBdr>
          <w:top w:val="double" w:sz="4" w:space="1" w:color="auto"/>
          <w:left w:val="double" w:sz="4" w:space="4" w:color="auto"/>
          <w:bottom w:val="double" w:sz="4" w:space="1" w:color="auto"/>
          <w:right w:val="double" w:sz="4" w:space="4" w:color="auto"/>
        </w:pBdr>
        <w:shd w:val="clear" w:color="auto" w:fill="244061"/>
        <w:ind w:left="567" w:right="424"/>
        <w:rPr>
          <w:rFonts w:ascii="Cambria" w:hAnsi="Cambria"/>
          <w:color w:val="FFFFFF"/>
          <w:sz w:val="24"/>
        </w:rPr>
      </w:pPr>
    </w:p>
    <w:p w14:paraId="56BABF7D" w14:textId="77777777" w:rsidR="00C44970" w:rsidRPr="001043D0" w:rsidRDefault="00C44970" w:rsidP="00C44970"/>
    <w:p w14:paraId="55511193" w14:textId="77777777" w:rsidR="00C44970" w:rsidRPr="001043D0" w:rsidRDefault="00C44970" w:rsidP="00C44970"/>
    <w:p w14:paraId="221C1536" w14:textId="77777777" w:rsidR="00C44970" w:rsidRPr="001043D0" w:rsidRDefault="00C44970" w:rsidP="00C44970"/>
    <w:p w14:paraId="2A66862B" w14:textId="77777777" w:rsidR="00C44970" w:rsidRPr="001043D0" w:rsidRDefault="00C44970" w:rsidP="00C44970">
      <w:pPr>
        <w:tabs>
          <w:tab w:val="right" w:pos="4395"/>
          <w:tab w:val="center" w:pos="4536"/>
          <w:tab w:val="left" w:pos="4678"/>
        </w:tabs>
        <w:jc w:val="center"/>
        <w:rPr>
          <w:color w:val="1F497D"/>
          <w:sz w:val="28"/>
        </w:rPr>
      </w:pPr>
      <w:r w:rsidRPr="001043D0">
        <w:rPr>
          <w:color w:val="1F497D"/>
          <w:sz w:val="28"/>
        </w:rPr>
        <w:t>Date et heure limites de réception des offres</w:t>
      </w:r>
    </w:p>
    <w:p w14:paraId="3A35F963" w14:textId="77777777" w:rsidR="00C44970" w:rsidRPr="001043D0" w:rsidRDefault="00C44970" w:rsidP="00C44970">
      <w:pPr>
        <w:tabs>
          <w:tab w:val="right" w:pos="4395"/>
          <w:tab w:val="center" w:pos="4536"/>
          <w:tab w:val="left" w:pos="4678"/>
        </w:tabs>
        <w:rPr>
          <w:sz w:val="28"/>
        </w:rPr>
      </w:pPr>
    </w:p>
    <w:p w14:paraId="43AD15AB" w14:textId="77777777" w:rsidR="00C44970" w:rsidRPr="001043D0" w:rsidRDefault="00C44970" w:rsidP="00C44970">
      <w:pPr>
        <w:tabs>
          <w:tab w:val="right" w:pos="4395"/>
          <w:tab w:val="center" w:pos="4536"/>
          <w:tab w:val="left" w:pos="4678"/>
        </w:tabs>
        <w:jc w:val="center"/>
        <w:rPr>
          <w:b/>
          <w:color w:val="1F497D"/>
          <w:sz w:val="32"/>
          <w:szCs w:val="32"/>
        </w:rPr>
      </w:pPr>
      <w:r w:rsidRPr="001043D0">
        <w:rPr>
          <w:b/>
          <w:color w:val="1F497D"/>
          <w:sz w:val="32"/>
          <w:szCs w:val="32"/>
        </w:rPr>
        <w:t>Lundi 1</w:t>
      </w:r>
      <w:r w:rsidRPr="001043D0">
        <w:rPr>
          <w:b/>
          <w:color w:val="1F497D"/>
          <w:sz w:val="32"/>
          <w:szCs w:val="32"/>
          <w:vertAlign w:val="superscript"/>
        </w:rPr>
        <w:t>er</w:t>
      </w:r>
      <w:r w:rsidRPr="001043D0">
        <w:rPr>
          <w:b/>
          <w:color w:val="1F497D"/>
          <w:sz w:val="32"/>
          <w:szCs w:val="32"/>
        </w:rPr>
        <w:t xml:space="preserve"> octobre 2018 - 12 heures</w:t>
      </w:r>
    </w:p>
    <w:p w14:paraId="62251EA1" w14:textId="77777777" w:rsidR="00C44970" w:rsidRPr="001043D0" w:rsidRDefault="00C44970" w:rsidP="00C44970">
      <w:pPr>
        <w:tabs>
          <w:tab w:val="right" w:pos="4395"/>
          <w:tab w:val="center" w:pos="4536"/>
          <w:tab w:val="left" w:pos="4678"/>
        </w:tabs>
        <w:jc w:val="center"/>
        <w:rPr>
          <w:color w:val="008000"/>
          <w:sz w:val="32"/>
          <w:szCs w:val="32"/>
        </w:rPr>
      </w:pPr>
    </w:p>
    <w:p w14:paraId="4514FAB4" w14:textId="4FC26D80" w:rsidR="00C44970" w:rsidRDefault="00C44970" w:rsidP="00C44970">
      <w:pPr>
        <w:rPr>
          <w:b/>
          <w:sz w:val="32"/>
          <w:u w:val="single"/>
        </w:rPr>
      </w:pPr>
    </w:p>
    <w:p w14:paraId="70EF9F8A" w14:textId="77777777" w:rsidR="00C44970" w:rsidRPr="001043D0" w:rsidRDefault="00C44970" w:rsidP="00C44970">
      <w:pPr>
        <w:rPr>
          <w:b/>
          <w:sz w:val="32"/>
          <w:u w:val="single"/>
        </w:rPr>
      </w:pPr>
    </w:p>
    <w:p w14:paraId="030D6F82" w14:textId="1A0B89D2" w:rsidR="007F369C" w:rsidRPr="00C44970" w:rsidRDefault="004E2C6C" w:rsidP="007F369C">
      <w:pPr>
        <w:pStyle w:val="Titre"/>
        <w:rPr>
          <w:rFonts w:asciiTheme="majorHAnsi" w:hAnsiTheme="majorHAnsi"/>
          <w:color w:val="1F497D"/>
          <w:sz w:val="40"/>
        </w:rPr>
      </w:pPr>
      <w:r w:rsidRPr="00C44970">
        <w:rPr>
          <w:rFonts w:asciiTheme="majorHAnsi" w:hAnsiTheme="majorHAnsi"/>
          <w:color w:val="1F497D"/>
          <w:sz w:val="40"/>
        </w:rPr>
        <w:t>Cahier des clauses particulières</w:t>
      </w:r>
    </w:p>
    <w:p w14:paraId="06C03591" w14:textId="77777777" w:rsidR="00CA619D" w:rsidRPr="00C44970" w:rsidRDefault="00CA619D" w:rsidP="007F369C">
      <w:pPr>
        <w:jc w:val="center"/>
        <w:rPr>
          <w:rFonts w:asciiTheme="majorHAnsi" w:hAnsiTheme="majorHAnsi"/>
          <w:b/>
          <w:color w:val="1F497D"/>
          <w:sz w:val="28"/>
          <w:szCs w:val="28"/>
        </w:rPr>
      </w:pPr>
    </w:p>
    <w:p w14:paraId="2C219C89" w14:textId="77777777" w:rsidR="00CA619D" w:rsidRPr="00C44970" w:rsidRDefault="00CA619D" w:rsidP="007F369C">
      <w:pPr>
        <w:jc w:val="center"/>
        <w:rPr>
          <w:rFonts w:asciiTheme="majorHAnsi" w:hAnsiTheme="majorHAnsi"/>
          <w:b/>
          <w:color w:val="1F497D"/>
          <w:sz w:val="28"/>
          <w:szCs w:val="28"/>
        </w:rPr>
      </w:pPr>
    </w:p>
    <w:p w14:paraId="4248CD3A" w14:textId="57E25BC2" w:rsidR="00CA619D" w:rsidRDefault="00CA619D" w:rsidP="007F369C">
      <w:pPr>
        <w:jc w:val="center"/>
        <w:rPr>
          <w:rFonts w:asciiTheme="majorHAnsi" w:hAnsiTheme="majorHAnsi"/>
          <w:b/>
          <w:color w:val="1F497D"/>
          <w:sz w:val="28"/>
          <w:szCs w:val="28"/>
        </w:rPr>
      </w:pPr>
    </w:p>
    <w:p w14:paraId="21E6F493" w14:textId="33CECDB1" w:rsidR="00C44970" w:rsidRDefault="00C44970" w:rsidP="007F369C">
      <w:pPr>
        <w:jc w:val="center"/>
        <w:rPr>
          <w:rFonts w:asciiTheme="majorHAnsi" w:hAnsiTheme="majorHAnsi"/>
          <w:b/>
          <w:color w:val="1F497D"/>
          <w:sz w:val="28"/>
          <w:szCs w:val="28"/>
        </w:rPr>
      </w:pPr>
    </w:p>
    <w:p w14:paraId="1FB5C476" w14:textId="77777777" w:rsidR="00C44970" w:rsidRPr="00C44970" w:rsidRDefault="00C44970" w:rsidP="007F369C">
      <w:pPr>
        <w:jc w:val="center"/>
        <w:rPr>
          <w:rFonts w:asciiTheme="majorHAnsi" w:hAnsiTheme="majorHAnsi"/>
          <w:b/>
          <w:color w:val="1F497D"/>
          <w:sz w:val="28"/>
          <w:szCs w:val="28"/>
        </w:rPr>
      </w:pPr>
    </w:p>
    <w:p w14:paraId="0625C4D4" w14:textId="77777777" w:rsidR="00CA619D" w:rsidRPr="00C44970" w:rsidRDefault="00CA619D" w:rsidP="007F369C">
      <w:pPr>
        <w:jc w:val="center"/>
        <w:rPr>
          <w:rFonts w:asciiTheme="majorHAnsi" w:hAnsiTheme="majorHAnsi"/>
          <w:b/>
          <w:color w:val="1F497D"/>
          <w:sz w:val="28"/>
          <w:szCs w:val="28"/>
        </w:rPr>
      </w:pPr>
    </w:p>
    <w:p w14:paraId="357B829A" w14:textId="3715A4B7" w:rsidR="007F369C" w:rsidRPr="00C44970" w:rsidRDefault="007F369C" w:rsidP="007F369C">
      <w:pPr>
        <w:jc w:val="center"/>
        <w:rPr>
          <w:rFonts w:asciiTheme="majorHAnsi" w:hAnsiTheme="majorHAnsi"/>
          <w:b/>
          <w:color w:val="1F497D"/>
          <w:sz w:val="32"/>
          <w:szCs w:val="32"/>
        </w:rPr>
      </w:pPr>
      <w:r w:rsidRPr="00C44970">
        <w:rPr>
          <w:rFonts w:asciiTheme="majorHAnsi" w:hAnsiTheme="majorHAnsi"/>
          <w:b/>
          <w:color w:val="1F497D"/>
          <w:sz w:val="32"/>
          <w:szCs w:val="32"/>
        </w:rPr>
        <w:t>Marché à procédure adaptée</w:t>
      </w:r>
    </w:p>
    <w:p w14:paraId="5E4E2683" w14:textId="6E75983F" w:rsidR="007F369C" w:rsidRPr="00C44970" w:rsidRDefault="007F369C" w:rsidP="007F369C">
      <w:pPr>
        <w:jc w:val="center"/>
        <w:rPr>
          <w:rFonts w:asciiTheme="majorHAnsi" w:hAnsiTheme="majorHAnsi"/>
          <w:b/>
          <w:color w:val="1F497D"/>
          <w:sz w:val="32"/>
          <w:szCs w:val="32"/>
        </w:rPr>
      </w:pPr>
      <w:r w:rsidRPr="00C44970">
        <w:rPr>
          <w:rFonts w:asciiTheme="majorHAnsi" w:hAnsiTheme="majorHAnsi"/>
          <w:b/>
          <w:color w:val="1F497D"/>
          <w:sz w:val="32"/>
          <w:szCs w:val="32"/>
        </w:rPr>
        <w:t xml:space="preserve">N° </w:t>
      </w:r>
      <w:r w:rsidR="001C5447" w:rsidRPr="00C44970">
        <w:rPr>
          <w:rFonts w:asciiTheme="majorHAnsi" w:hAnsiTheme="majorHAnsi"/>
          <w:b/>
          <w:color w:val="1F497D"/>
          <w:sz w:val="32"/>
          <w:szCs w:val="32"/>
        </w:rPr>
        <w:t>2018ML</w:t>
      </w:r>
      <w:r w:rsidR="005C023D" w:rsidRPr="00C44970">
        <w:rPr>
          <w:rFonts w:asciiTheme="majorHAnsi" w:hAnsiTheme="majorHAnsi"/>
          <w:b/>
          <w:color w:val="1F497D"/>
          <w:sz w:val="32"/>
          <w:szCs w:val="32"/>
        </w:rPr>
        <w:t>S</w:t>
      </w:r>
      <w:r w:rsidR="00CA619D" w:rsidRPr="00C44970">
        <w:rPr>
          <w:rFonts w:asciiTheme="majorHAnsi" w:hAnsiTheme="majorHAnsi"/>
          <w:b/>
          <w:color w:val="1F497D"/>
          <w:sz w:val="32"/>
          <w:szCs w:val="32"/>
        </w:rPr>
        <w:t>PLCOM</w:t>
      </w:r>
      <w:r w:rsidR="005C023D" w:rsidRPr="00C44970">
        <w:rPr>
          <w:rFonts w:asciiTheme="majorHAnsi" w:hAnsiTheme="majorHAnsi"/>
          <w:b/>
          <w:color w:val="1F497D"/>
          <w:sz w:val="32"/>
          <w:szCs w:val="32"/>
        </w:rPr>
        <w:t>03</w:t>
      </w:r>
    </w:p>
    <w:p w14:paraId="772854E4" w14:textId="77777777" w:rsidR="007F369C" w:rsidRPr="00C44970" w:rsidRDefault="007F369C" w:rsidP="00C44970">
      <w:pPr>
        <w:jc w:val="center"/>
        <w:rPr>
          <w:rFonts w:asciiTheme="majorHAnsi" w:hAnsiTheme="majorHAnsi"/>
          <w:b/>
          <w:color w:val="1F497D"/>
          <w:sz w:val="28"/>
          <w:szCs w:val="28"/>
        </w:rPr>
      </w:pPr>
    </w:p>
    <w:p w14:paraId="5210F82C" w14:textId="700DA133" w:rsidR="00487F12" w:rsidRPr="00C44970" w:rsidRDefault="00487F12" w:rsidP="00C44970">
      <w:pPr>
        <w:jc w:val="center"/>
        <w:rPr>
          <w:rFonts w:asciiTheme="majorHAnsi" w:hAnsiTheme="majorHAnsi"/>
          <w:b/>
          <w:color w:val="1F497D"/>
          <w:sz w:val="40"/>
        </w:rPr>
      </w:pPr>
    </w:p>
    <w:p w14:paraId="45BFA6CE" w14:textId="0519E773" w:rsidR="00C44970" w:rsidRPr="00C44970" w:rsidRDefault="00C44970" w:rsidP="00C44970">
      <w:pPr>
        <w:jc w:val="center"/>
        <w:rPr>
          <w:rFonts w:asciiTheme="majorHAnsi" w:hAnsiTheme="majorHAnsi"/>
          <w:b/>
          <w:color w:val="1F497D"/>
          <w:sz w:val="40"/>
        </w:rPr>
      </w:pPr>
    </w:p>
    <w:p w14:paraId="79D3B396" w14:textId="70EA965C" w:rsidR="00673D24" w:rsidRPr="00C44970" w:rsidRDefault="00426584" w:rsidP="00C44970">
      <w:pPr>
        <w:pStyle w:val="Titre"/>
        <w:rPr>
          <w:rFonts w:asciiTheme="majorHAnsi" w:hAnsiTheme="majorHAnsi"/>
          <w:color w:val="1F497D"/>
          <w:sz w:val="16"/>
          <w:szCs w:val="16"/>
          <w:u w:val="single"/>
        </w:rPr>
      </w:pPr>
      <w:r w:rsidRPr="00C44970">
        <w:rPr>
          <w:rFonts w:asciiTheme="majorHAnsi" w:hAnsiTheme="majorHAnsi"/>
          <w:color w:val="1F497D"/>
          <w:sz w:val="16"/>
          <w:szCs w:val="16"/>
          <w:u w:val="single"/>
        </w:rPr>
        <w:t xml:space="preserve">Comprenant </w:t>
      </w:r>
      <w:r w:rsidR="005C023D" w:rsidRPr="00C44970">
        <w:rPr>
          <w:rFonts w:asciiTheme="majorHAnsi" w:hAnsiTheme="majorHAnsi"/>
          <w:color w:val="1F497D"/>
          <w:sz w:val="16"/>
          <w:szCs w:val="16"/>
          <w:u w:val="single"/>
        </w:rPr>
        <w:t>11</w:t>
      </w:r>
      <w:r w:rsidR="00673D24" w:rsidRPr="00C44970">
        <w:rPr>
          <w:rFonts w:asciiTheme="majorHAnsi" w:hAnsiTheme="majorHAnsi"/>
          <w:color w:val="1F497D"/>
          <w:sz w:val="16"/>
          <w:szCs w:val="16"/>
          <w:u w:val="single"/>
        </w:rPr>
        <w:t xml:space="preserve"> pages</w:t>
      </w:r>
    </w:p>
    <w:p w14:paraId="499D69A4" w14:textId="47B2EE84" w:rsidR="00673D24" w:rsidRPr="00C44970" w:rsidRDefault="00673D24" w:rsidP="00C44970">
      <w:pPr>
        <w:pStyle w:val="Titre"/>
        <w:rPr>
          <w:rFonts w:asciiTheme="majorHAnsi" w:hAnsiTheme="majorHAnsi"/>
        </w:rPr>
      </w:pPr>
      <w:r w:rsidRPr="00C44970">
        <w:rPr>
          <w:rFonts w:asciiTheme="majorHAnsi" w:hAnsiTheme="majorHAnsi"/>
        </w:rPr>
        <w:br w:type="page"/>
      </w:r>
      <w:r w:rsidRPr="00C44970">
        <w:rPr>
          <w:rFonts w:asciiTheme="majorHAnsi" w:hAnsiTheme="majorHAnsi"/>
        </w:rPr>
        <w:lastRenderedPageBreak/>
        <w:t>CAHIER DES CLAUSES PARTICULIERES</w:t>
      </w:r>
    </w:p>
    <w:p w14:paraId="36EAA500" w14:textId="77777777" w:rsidR="00E163A2" w:rsidRPr="00C44970" w:rsidRDefault="00E163A2" w:rsidP="00E163A2">
      <w:pPr>
        <w:pStyle w:val="Titre"/>
        <w:rPr>
          <w:rFonts w:asciiTheme="majorHAnsi" w:hAnsiTheme="majorHAnsi"/>
        </w:rPr>
      </w:pPr>
      <w:bookmarkStart w:id="0" w:name="_Toc306030567"/>
    </w:p>
    <w:p w14:paraId="62C8C478" w14:textId="77777777" w:rsidR="00E163A2" w:rsidRPr="00C44970" w:rsidRDefault="00E163A2" w:rsidP="00E163A2">
      <w:pPr>
        <w:pStyle w:val="Titre"/>
        <w:rPr>
          <w:rFonts w:asciiTheme="majorHAnsi" w:hAnsiTheme="majorHAnsi"/>
        </w:rPr>
      </w:pPr>
      <w:r w:rsidRPr="00C44970">
        <w:rPr>
          <w:rFonts w:asciiTheme="majorHAnsi" w:hAnsiTheme="majorHAnsi"/>
        </w:rPr>
        <w:t>SOMMAIRE</w:t>
      </w:r>
    </w:p>
    <w:p w14:paraId="4B2616C5" w14:textId="77777777" w:rsidR="00E163A2" w:rsidRPr="00C44970" w:rsidRDefault="00E163A2" w:rsidP="00E163A2">
      <w:pPr>
        <w:pStyle w:val="Titre"/>
        <w:rPr>
          <w:rFonts w:asciiTheme="majorHAnsi" w:hAnsiTheme="majorHAnsi"/>
        </w:rPr>
      </w:pPr>
    </w:p>
    <w:p w14:paraId="669E6F49" w14:textId="77777777" w:rsidR="00DB0BED" w:rsidRPr="00C44970" w:rsidRDefault="00DB0BED" w:rsidP="00DB0BED">
      <w:pPr>
        <w:rPr>
          <w:rFonts w:asciiTheme="majorHAnsi" w:hAnsiTheme="majorHAnsi"/>
          <w:sz w:val="8"/>
        </w:rPr>
      </w:pPr>
    </w:p>
    <w:p w14:paraId="4AD6E6DC" w14:textId="276C4B00" w:rsidR="00E163A2" w:rsidRPr="008D5057" w:rsidRDefault="00E163A2" w:rsidP="007F43D5">
      <w:pPr>
        <w:pStyle w:val="Titre1"/>
        <w:keepNext w:val="0"/>
        <w:numPr>
          <w:ilvl w:val="0"/>
          <w:numId w:val="34"/>
        </w:numPr>
        <w:spacing w:before="0" w:after="0"/>
        <w:ind w:left="567" w:hanging="425"/>
        <w:rPr>
          <w:rFonts w:asciiTheme="majorHAnsi" w:hAnsiTheme="majorHAnsi"/>
          <w:b w:val="0"/>
          <w:szCs w:val="26"/>
          <w:u w:val="single"/>
        </w:rPr>
      </w:pPr>
      <w:r w:rsidRPr="008D5057">
        <w:rPr>
          <w:rFonts w:asciiTheme="majorHAnsi" w:hAnsiTheme="majorHAnsi"/>
          <w:b w:val="0"/>
          <w:szCs w:val="26"/>
          <w:u w:val="single"/>
        </w:rPr>
        <w:t>Objet et étendue de la consultation</w:t>
      </w:r>
    </w:p>
    <w:p w14:paraId="31636B00" w14:textId="478E35EF" w:rsidR="00E163A2" w:rsidRPr="00F31A8E" w:rsidRDefault="007F43D5" w:rsidP="007F43D5">
      <w:pPr>
        <w:pStyle w:val="Titre2"/>
        <w:numPr>
          <w:ilvl w:val="0"/>
          <w:numId w:val="0"/>
        </w:numPr>
        <w:spacing w:before="0" w:after="0"/>
        <w:ind w:left="567" w:hanging="425"/>
        <w:jc w:val="both"/>
        <w:rPr>
          <w:rFonts w:asciiTheme="majorHAnsi" w:hAnsiTheme="majorHAnsi"/>
        </w:rPr>
      </w:pPr>
      <w:r w:rsidRPr="00F31A8E">
        <w:rPr>
          <w:rFonts w:asciiTheme="majorHAnsi" w:hAnsiTheme="majorHAnsi"/>
        </w:rPr>
        <w:tab/>
      </w:r>
      <w:r w:rsidR="00F739B3" w:rsidRPr="00F31A8E">
        <w:rPr>
          <w:rFonts w:asciiTheme="majorHAnsi" w:hAnsiTheme="majorHAnsi"/>
        </w:rPr>
        <w:t>1</w:t>
      </w:r>
      <w:r w:rsidR="00F31A8E" w:rsidRPr="00F31A8E">
        <w:rPr>
          <w:rFonts w:asciiTheme="majorHAnsi" w:hAnsiTheme="majorHAnsi"/>
        </w:rPr>
        <w:t>.1</w:t>
      </w:r>
      <w:r w:rsidR="006F212E" w:rsidRPr="00F31A8E">
        <w:rPr>
          <w:rFonts w:asciiTheme="majorHAnsi" w:hAnsiTheme="majorHAnsi"/>
        </w:rPr>
        <w:t xml:space="preserve"> </w:t>
      </w:r>
      <w:r w:rsidR="00E163A2" w:rsidRPr="00F31A8E">
        <w:rPr>
          <w:rFonts w:asciiTheme="majorHAnsi" w:hAnsiTheme="majorHAnsi"/>
        </w:rPr>
        <w:t>Objet de la consultation</w:t>
      </w:r>
    </w:p>
    <w:p w14:paraId="4E0CBA1D" w14:textId="54DA9C97" w:rsidR="00E163A2" w:rsidRPr="00F31A8E" w:rsidRDefault="007F43D5" w:rsidP="007F43D5">
      <w:pPr>
        <w:pStyle w:val="Titre2"/>
        <w:numPr>
          <w:ilvl w:val="0"/>
          <w:numId w:val="0"/>
        </w:numPr>
        <w:spacing w:before="0" w:after="0"/>
        <w:ind w:left="567" w:hanging="425"/>
        <w:jc w:val="both"/>
        <w:rPr>
          <w:rFonts w:asciiTheme="majorHAnsi" w:hAnsiTheme="majorHAnsi"/>
        </w:rPr>
      </w:pPr>
      <w:r w:rsidRPr="00F31A8E">
        <w:rPr>
          <w:rFonts w:asciiTheme="majorHAnsi" w:hAnsiTheme="majorHAnsi"/>
        </w:rPr>
        <w:tab/>
      </w:r>
      <w:r w:rsidR="00F739B3" w:rsidRPr="00F31A8E">
        <w:rPr>
          <w:rFonts w:asciiTheme="majorHAnsi" w:hAnsiTheme="majorHAnsi"/>
        </w:rPr>
        <w:t>1</w:t>
      </w:r>
      <w:r w:rsidR="00F31A8E" w:rsidRPr="00F31A8E">
        <w:rPr>
          <w:rFonts w:asciiTheme="majorHAnsi" w:hAnsiTheme="majorHAnsi"/>
        </w:rPr>
        <w:t xml:space="preserve">.2 </w:t>
      </w:r>
      <w:r w:rsidR="00F739B3" w:rsidRPr="00F31A8E">
        <w:rPr>
          <w:rFonts w:asciiTheme="majorHAnsi" w:hAnsiTheme="majorHAnsi"/>
        </w:rPr>
        <w:t>Etendue</w:t>
      </w:r>
      <w:r w:rsidR="00E163A2" w:rsidRPr="00F31A8E">
        <w:rPr>
          <w:rFonts w:asciiTheme="majorHAnsi" w:hAnsiTheme="majorHAnsi"/>
        </w:rPr>
        <w:t xml:space="preserve"> de la consultation</w:t>
      </w:r>
    </w:p>
    <w:p w14:paraId="705E70D2" w14:textId="08658ED5" w:rsidR="00E163A2" w:rsidRPr="00F31A8E" w:rsidRDefault="007F43D5" w:rsidP="007F43D5">
      <w:pPr>
        <w:pStyle w:val="Titre2"/>
        <w:numPr>
          <w:ilvl w:val="0"/>
          <w:numId w:val="0"/>
        </w:numPr>
        <w:spacing w:before="0" w:after="0"/>
        <w:ind w:left="567" w:hanging="425"/>
        <w:jc w:val="both"/>
        <w:rPr>
          <w:rFonts w:asciiTheme="majorHAnsi" w:hAnsiTheme="majorHAnsi"/>
        </w:rPr>
      </w:pPr>
      <w:r w:rsidRPr="00F31A8E">
        <w:rPr>
          <w:rFonts w:asciiTheme="majorHAnsi" w:hAnsiTheme="majorHAnsi"/>
        </w:rPr>
        <w:tab/>
      </w:r>
      <w:r w:rsidR="00F739B3" w:rsidRPr="00F31A8E">
        <w:rPr>
          <w:rFonts w:asciiTheme="majorHAnsi" w:hAnsiTheme="majorHAnsi"/>
        </w:rPr>
        <w:t>1</w:t>
      </w:r>
      <w:r w:rsidR="00DB0BED" w:rsidRPr="00F31A8E">
        <w:rPr>
          <w:rFonts w:asciiTheme="majorHAnsi" w:hAnsiTheme="majorHAnsi"/>
        </w:rPr>
        <w:t>.3</w:t>
      </w:r>
      <w:r w:rsidR="00F31A8E" w:rsidRPr="00F31A8E">
        <w:rPr>
          <w:rFonts w:asciiTheme="majorHAnsi" w:hAnsiTheme="majorHAnsi"/>
        </w:rPr>
        <w:t xml:space="preserve"> </w:t>
      </w:r>
      <w:r w:rsidR="00F739B3" w:rsidRPr="00F31A8E">
        <w:rPr>
          <w:rFonts w:asciiTheme="majorHAnsi" w:hAnsiTheme="majorHAnsi"/>
        </w:rPr>
        <w:t>Prestations</w:t>
      </w:r>
    </w:p>
    <w:p w14:paraId="721B233E" w14:textId="77777777" w:rsidR="00E163A2" w:rsidRPr="00F31A8E" w:rsidRDefault="00E163A2" w:rsidP="007F43D5">
      <w:pPr>
        <w:ind w:left="567" w:hanging="425"/>
        <w:rPr>
          <w:rFonts w:asciiTheme="majorHAnsi" w:hAnsiTheme="majorHAnsi"/>
          <w:sz w:val="24"/>
        </w:rPr>
      </w:pPr>
    </w:p>
    <w:p w14:paraId="16240493" w14:textId="32CE420E" w:rsidR="00E163A2" w:rsidRPr="008D5057" w:rsidRDefault="00E163A2" w:rsidP="007F43D5">
      <w:pPr>
        <w:pStyle w:val="Titre1"/>
        <w:keepNext w:val="0"/>
        <w:numPr>
          <w:ilvl w:val="0"/>
          <w:numId w:val="11"/>
        </w:numPr>
        <w:spacing w:before="0" w:after="0"/>
        <w:ind w:left="567" w:hanging="425"/>
        <w:rPr>
          <w:rFonts w:asciiTheme="majorHAnsi" w:hAnsiTheme="majorHAnsi"/>
          <w:b w:val="0"/>
          <w:szCs w:val="26"/>
          <w:u w:val="single"/>
        </w:rPr>
      </w:pPr>
      <w:r w:rsidRPr="008D5057">
        <w:rPr>
          <w:rFonts w:asciiTheme="majorHAnsi" w:hAnsiTheme="majorHAnsi"/>
          <w:b w:val="0"/>
          <w:szCs w:val="26"/>
          <w:u w:val="single"/>
        </w:rPr>
        <w:t>Documents contractuels</w:t>
      </w:r>
    </w:p>
    <w:p w14:paraId="2DC8DC24" w14:textId="77777777" w:rsidR="00DB0BED" w:rsidRPr="00F31A8E" w:rsidRDefault="00DB0BED" w:rsidP="007F43D5">
      <w:pPr>
        <w:ind w:left="567" w:hanging="425"/>
        <w:rPr>
          <w:rFonts w:asciiTheme="majorHAnsi" w:hAnsiTheme="majorHAnsi"/>
          <w:sz w:val="24"/>
        </w:rPr>
      </w:pPr>
    </w:p>
    <w:p w14:paraId="7ED04966" w14:textId="7C139AB8" w:rsidR="00E163A2" w:rsidRPr="008D5057" w:rsidRDefault="00E163A2" w:rsidP="007F43D5">
      <w:pPr>
        <w:pStyle w:val="Titre1"/>
        <w:keepNext w:val="0"/>
        <w:numPr>
          <w:ilvl w:val="0"/>
          <w:numId w:val="11"/>
        </w:numPr>
        <w:spacing w:before="0" w:after="0"/>
        <w:ind w:left="567" w:hanging="425"/>
        <w:rPr>
          <w:rFonts w:asciiTheme="majorHAnsi" w:hAnsiTheme="majorHAnsi"/>
          <w:b w:val="0"/>
          <w:szCs w:val="26"/>
          <w:u w:val="single"/>
        </w:rPr>
      </w:pPr>
      <w:r w:rsidRPr="008D5057">
        <w:rPr>
          <w:rFonts w:asciiTheme="majorHAnsi" w:hAnsiTheme="majorHAnsi"/>
          <w:b w:val="0"/>
          <w:szCs w:val="26"/>
          <w:u w:val="single"/>
        </w:rPr>
        <w:t>Durée du marché</w:t>
      </w:r>
    </w:p>
    <w:p w14:paraId="7CBE69FF" w14:textId="7603CB11" w:rsidR="00DB0BED" w:rsidRPr="00F31A8E" w:rsidRDefault="00DB0BED" w:rsidP="007F43D5">
      <w:pPr>
        <w:ind w:left="567" w:hanging="425"/>
        <w:rPr>
          <w:rFonts w:asciiTheme="majorHAnsi" w:hAnsiTheme="majorHAnsi"/>
          <w:sz w:val="24"/>
        </w:rPr>
      </w:pPr>
    </w:p>
    <w:p w14:paraId="179CD1A2" w14:textId="67749D54" w:rsidR="00E163A2" w:rsidRPr="008D5057" w:rsidRDefault="00F31A8E" w:rsidP="007F43D5">
      <w:pPr>
        <w:pStyle w:val="Titre1"/>
        <w:keepNext w:val="0"/>
        <w:numPr>
          <w:ilvl w:val="0"/>
          <w:numId w:val="0"/>
        </w:numPr>
        <w:tabs>
          <w:tab w:val="left" w:pos="567"/>
        </w:tabs>
        <w:spacing w:before="0" w:after="0"/>
        <w:ind w:left="567" w:hanging="425"/>
        <w:rPr>
          <w:rFonts w:asciiTheme="majorHAnsi" w:hAnsiTheme="majorHAnsi"/>
          <w:b w:val="0"/>
          <w:szCs w:val="26"/>
        </w:rPr>
      </w:pPr>
      <w:r w:rsidRPr="008D5057">
        <w:rPr>
          <w:rFonts w:asciiTheme="majorHAnsi" w:hAnsiTheme="majorHAnsi"/>
          <w:b w:val="0"/>
          <w:szCs w:val="26"/>
        </w:rPr>
        <w:t>4</w:t>
      </w:r>
      <w:r w:rsidR="007F43D5" w:rsidRPr="008D5057">
        <w:rPr>
          <w:rFonts w:asciiTheme="majorHAnsi" w:hAnsiTheme="majorHAnsi"/>
          <w:b w:val="0"/>
          <w:szCs w:val="26"/>
        </w:rPr>
        <w:tab/>
      </w:r>
      <w:r w:rsidR="00E163A2" w:rsidRPr="008D5057">
        <w:rPr>
          <w:rFonts w:asciiTheme="majorHAnsi" w:hAnsiTheme="majorHAnsi"/>
          <w:b w:val="0"/>
          <w:szCs w:val="26"/>
          <w:u w:val="single"/>
        </w:rPr>
        <w:t>Conditions d’exécution des prestations</w:t>
      </w:r>
    </w:p>
    <w:p w14:paraId="7622E5D3" w14:textId="6C5F249C" w:rsidR="00E163A2" w:rsidRPr="00F31A8E" w:rsidRDefault="007F43D5" w:rsidP="007F43D5">
      <w:pPr>
        <w:pStyle w:val="Titre1"/>
        <w:keepNext w:val="0"/>
        <w:numPr>
          <w:ilvl w:val="0"/>
          <w:numId w:val="0"/>
        </w:numPr>
        <w:tabs>
          <w:tab w:val="left" w:pos="567"/>
        </w:tabs>
        <w:spacing w:before="0" w:after="0"/>
        <w:ind w:left="567" w:hanging="425"/>
        <w:rPr>
          <w:rFonts w:asciiTheme="majorHAnsi" w:hAnsiTheme="majorHAnsi"/>
          <w:b w:val="0"/>
          <w:i/>
          <w:sz w:val="24"/>
        </w:rPr>
      </w:pPr>
      <w:r w:rsidRPr="00F31A8E">
        <w:rPr>
          <w:rFonts w:asciiTheme="majorHAnsi" w:hAnsiTheme="majorHAnsi"/>
          <w:b w:val="0"/>
          <w:i/>
          <w:sz w:val="24"/>
        </w:rPr>
        <w:tab/>
      </w:r>
      <w:r w:rsidR="00F31A8E" w:rsidRPr="00F31A8E">
        <w:rPr>
          <w:rFonts w:asciiTheme="majorHAnsi" w:hAnsiTheme="majorHAnsi"/>
          <w:b w:val="0"/>
          <w:i/>
          <w:sz w:val="24"/>
        </w:rPr>
        <w:t xml:space="preserve">4.1 </w:t>
      </w:r>
      <w:r w:rsidR="00E163A2" w:rsidRPr="00F31A8E">
        <w:rPr>
          <w:rFonts w:asciiTheme="majorHAnsi" w:hAnsiTheme="majorHAnsi"/>
          <w:b w:val="0"/>
          <w:i/>
          <w:sz w:val="24"/>
        </w:rPr>
        <w:t>Dispositions générales</w:t>
      </w:r>
    </w:p>
    <w:p w14:paraId="4CF7002F" w14:textId="43FD9D45" w:rsidR="00F31A8E" w:rsidRPr="00F31A8E" w:rsidRDefault="00F31A8E" w:rsidP="00F31A8E">
      <w:pPr>
        <w:ind w:left="567" w:hanging="425"/>
        <w:rPr>
          <w:i/>
          <w:sz w:val="24"/>
        </w:rPr>
      </w:pPr>
      <w:r w:rsidRPr="00F31A8E">
        <w:rPr>
          <w:rFonts w:asciiTheme="majorHAnsi" w:hAnsiTheme="majorHAnsi"/>
          <w:i/>
          <w:sz w:val="24"/>
        </w:rPr>
        <w:tab/>
        <w:t>4</w:t>
      </w:r>
      <w:r w:rsidR="00E163A2" w:rsidRPr="00F31A8E">
        <w:rPr>
          <w:rFonts w:asciiTheme="majorHAnsi" w:hAnsiTheme="majorHAnsi"/>
          <w:i/>
          <w:sz w:val="24"/>
        </w:rPr>
        <w:t xml:space="preserve">.2 </w:t>
      </w:r>
      <w:r w:rsidRPr="00F31A8E">
        <w:rPr>
          <w:rFonts w:asciiTheme="majorHAnsi" w:hAnsiTheme="majorHAnsi"/>
          <w:i/>
          <w:sz w:val="24"/>
        </w:rPr>
        <w:t>Dispositions particulières</w:t>
      </w:r>
    </w:p>
    <w:p w14:paraId="33D7D5C6" w14:textId="7F59EB03" w:rsidR="00E163A2" w:rsidRPr="00F31A8E" w:rsidRDefault="00F31A8E" w:rsidP="007F43D5">
      <w:pPr>
        <w:pStyle w:val="Titre2"/>
        <w:numPr>
          <w:ilvl w:val="0"/>
          <w:numId w:val="0"/>
        </w:numPr>
        <w:spacing w:before="0" w:after="0"/>
        <w:ind w:left="567" w:hanging="425"/>
        <w:jc w:val="both"/>
        <w:rPr>
          <w:rFonts w:asciiTheme="majorHAnsi" w:hAnsiTheme="majorHAnsi"/>
        </w:rPr>
      </w:pPr>
      <w:r w:rsidRPr="00F31A8E">
        <w:rPr>
          <w:rFonts w:asciiTheme="majorHAnsi" w:hAnsiTheme="majorHAnsi"/>
        </w:rPr>
        <w:tab/>
        <w:t>4.3 Délais d’exécution des prestations</w:t>
      </w:r>
      <w:r w:rsidR="00E163A2" w:rsidRPr="00F31A8E">
        <w:rPr>
          <w:rFonts w:asciiTheme="majorHAnsi" w:hAnsiTheme="majorHAnsi"/>
        </w:rPr>
        <w:t xml:space="preserve"> </w:t>
      </w:r>
    </w:p>
    <w:p w14:paraId="285BB70E" w14:textId="77777777" w:rsidR="00E163A2" w:rsidRPr="00F31A8E" w:rsidRDefault="00E163A2" w:rsidP="007F43D5">
      <w:pPr>
        <w:ind w:left="567" w:hanging="425"/>
        <w:rPr>
          <w:rFonts w:asciiTheme="majorHAnsi" w:hAnsiTheme="majorHAnsi"/>
          <w:sz w:val="24"/>
        </w:rPr>
      </w:pPr>
    </w:p>
    <w:p w14:paraId="618A5B57" w14:textId="24CF0763" w:rsidR="00E163A2" w:rsidRPr="008D5057" w:rsidRDefault="00F31A8E" w:rsidP="007F43D5">
      <w:pPr>
        <w:pStyle w:val="Titre1"/>
        <w:keepNext w:val="0"/>
        <w:numPr>
          <w:ilvl w:val="0"/>
          <w:numId w:val="0"/>
        </w:numPr>
        <w:tabs>
          <w:tab w:val="left" w:pos="567"/>
        </w:tabs>
        <w:spacing w:before="0" w:after="0"/>
        <w:ind w:left="567" w:hanging="425"/>
        <w:rPr>
          <w:rFonts w:asciiTheme="majorHAnsi" w:hAnsiTheme="majorHAnsi"/>
          <w:b w:val="0"/>
          <w:szCs w:val="26"/>
        </w:rPr>
      </w:pPr>
      <w:r w:rsidRPr="008D5057">
        <w:rPr>
          <w:rFonts w:asciiTheme="majorHAnsi" w:hAnsiTheme="majorHAnsi"/>
          <w:b w:val="0"/>
          <w:szCs w:val="26"/>
        </w:rPr>
        <w:t>5</w:t>
      </w:r>
      <w:r w:rsidR="00E163A2" w:rsidRPr="008D5057">
        <w:rPr>
          <w:rFonts w:asciiTheme="majorHAnsi" w:hAnsiTheme="majorHAnsi"/>
          <w:b w:val="0"/>
          <w:szCs w:val="26"/>
        </w:rPr>
        <w:tab/>
        <w:t xml:space="preserve"> </w:t>
      </w:r>
      <w:r w:rsidR="00E163A2" w:rsidRPr="008D5057">
        <w:rPr>
          <w:rFonts w:asciiTheme="majorHAnsi" w:hAnsiTheme="majorHAnsi"/>
          <w:b w:val="0"/>
          <w:szCs w:val="26"/>
          <w:u w:val="single"/>
        </w:rPr>
        <w:t>Vérifications et admission</w:t>
      </w:r>
    </w:p>
    <w:p w14:paraId="13DF0ED8" w14:textId="3D2D3038" w:rsidR="00E163A2" w:rsidRPr="00F31A8E" w:rsidRDefault="007F43D5" w:rsidP="007F43D5">
      <w:pPr>
        <w:pStyle w:val="Titre2"/>
        <w:numPr>
          <w:ilvl w:val="0"/>
          <w:numId w:val="0"/>
        </w:numPr>
        <w:spacing w:before="0" w:after="0"/>
        <w:ind w:left="567" w:hanging="425"/>
        <w:jc w:val="both"/>
        <w:rPr>
          <w:rFonts w:asciiTheme="majorHAnsi" w:hAnsiTheme="majorHAnsi"/>
          <w:noProof/>
        </w:rPr>
      </w:pPr>
      <w:r w:rsidRPr="00F31A8E">
        <w:rPr>
          <w:rFonts w:asciiTheme="majorHAnsi" w:hAnsiTheme="majorHAnsi"/>
          <w:noProof/>
        </w:rPr>
        <w:tab/>
      </w:r>
      <w:r w:rsidR="00F31A8E" w:rsidRPr="00F31A8E">
        <w:rPr>
          <w:rFonts w:asciiTheme="majorHAnsi" w:hAnsiTheme="majorHAnsi"/>
          <w:noProof/>
        </w:rPr>
        <w:t xml:space="preserve">5.1 </w:t>
      </w:r>
      <w:r w:rsidR="00E163A2" w:rsidRPr="00F31A8E">
        <w:rPr>
          <w:rFonts w:asciiTheme="majorHAnsi" w:hAnsiTheme="majorHAnsi"/>
          <w:noProof/>
        </w:rPr>
        <w:t>Opérations de vérification</w:t>
      </w:r>
    </w:p>
    <w:p w14:paraId="6DAD642D" w14:textId="48A24BE7" w:rsidR="00F31A8E" w:rsidRPr="00F31A8E" w:rsidRDefault="00F31A8E" w:rsidP="00F31A8E">
      <w:pPr>
        <w:rPr>
          <w:sz w:val="24"/>
        </w:rPr>
      </w:pPr>
      <w:r w:rsidRPr="00F31A8E">
        <w:rPr>
          <w:sz w:val="24"/>
        </w:rPr>
        <w:tab/>
        <w:t>5.1.1 – La vérification d’aptitude</w:t>
      </w:r>
    </w:p>
    <w:p w14:paraId="1546B1BD" w14:textId="000AFA20" w:rsidR="00F31A8E" w:rsidRPr="00F31A8E" w:rsidRDefault="00F31A8E" w:rsidP="00F31A8E">
      <w:pPr>
        <w:rPr>
          <w:sz w:val="24"/>
        </w:rPr>
      </w:pPr>
      <w:r w:rsidRPr="00F31A8E">
        <w:rPr>
          <w:sz w:val="24"/>
        </w:rPr>
        <w:tab/>
        <w:t>5.1.2 – La vérification de service régulier</w:t>
      </w:r>
    </w:p>
    <w:p w14:paraId="6F494012" w14:textId="6C0CE923" w:rsidR="00E163A2" w:rsidRPr="00F31A8E" w:rsidRDefault="007F43D5" w:rsidP="007F43D5">
      <w:pPr>
        <w:pStyle w:val="Titre2"/>
        <w:numPr>
          <w:ilvl w:val="0"/>
          <w:numId w:val="0"/>
        </w:numPr>
        <w:spacing w:before="0" w:after="0"/>
        <w:ind w:left="567" w:hanging="425"/>
        <w:jc w:val="both"/>
        <w:rPr>
          <w:rFonts w:asciiTheme="majorHAnsi" w:hAnsiTheme="majorHAnsi"/>
          <w:noProof/>
        </w:rPr>
      </w:pPr>
      <w:r w:rsidRPr="00F31A8E">
        <w:rPr>
          <w:rFonts w:asciiTheme="majorHAnsi" w:hAnsiTheme="majorHAnsi"/>
          <w:noProof/>
        </w:rPr>
        <w:tab/>
      </w:r>
      <w:r w:rsidR="00F31A8E" w:rsidRPr="00F31A8E">
        <w:rPr>
          <w:rFonts w:asciiTheme="majorHAnsi" w:hAnsiTheme="majorHAnsi"/>
          <w:noProof/>
        </w:rPr>
        <w:t xml:space="preserve">5.2 </w:t>
      </w:r>
      <w:r w:rsidR="00E163A2" w:rsidRPr="00F31A8E">
        <w:rPr>
          <w:rFonts w:asciiTheme="majorHAnsi" w:hAnsiTheme="majorHAnsi"/>
          <w:noProof/>
        </w:rPr>
        <w:t>Admission</w:t>
      </w:r>
    </w:p>
    <w:p w14:paraId="2F581850" w14:textId="77777777" w:rsidR="00DB0BED" w:rsidRPr="00F31A8E" w:rsidRDefault="00DB0BED" w:rsidP="007F43D5">
      <w:pPr>
        <w:ind w:left="567" w:hanging="425"/>
        <w:rPr>
          <w:rFonts w:asciiTheme="majorHAnsi" w:hAnsiTheme="majorHAnsi"/>
          <w:sz w:val="24"/>
        </w:rPr>
      </w:pPr>
    </w:p>
    <w:p w14:paraId="3FCD1465" w14:textId="4F220615" w:rsidR="00E163A2" w:rsidRPr="008D5057" w:rsidRDefault="00F31A8E" w:rsidP="007F43D5">
      <w:pPr>
        <w:pStyle w:val="Titre1"/>
        <w:keepNext w:val="0"/>
        <w:numPr>
          <w:ilvl w:val="0"/>
          <w:numId w:val="0"/>
        </w:numPr>
        <w:tabs>
          <w:tab w:val="left" w:pos="567"/>
        </w:tabs>
        <w:spacing w:before="0" w:after="0"/>
        <w:ind w:left="567" w:hanging="425"/>
        <w:rPr>
          <w:rFonts w:asciiTheme="majorHAnsi" w:hAnsiTheme="majorHAnsi"/>
          <w:b w:val="0"/>
          <w:szCs w:val="26"/>
          <w:u w:val="single"/>
        </w:rPr>
      </w:pPr>
      <w:r w:rsidRPr="008D5057">
        <w:rPr>
          <w:rFonts w:asciiTheme="majorHAnsi" w:hAnsiTheme="majorHAnsi"/>
          <w:b w:val="0"/>
          <w:szCs w:val="26"/>
        </w:rPr>
        <w:t>6</w:t>
      </w:r>
      <w:r w:rsidR="00E163A2" w:rsidRPr="008D5057">
        <w:rPr>
          <w:rFonts w:asciiTheme="majorHAnsi" w:hAnsiTheme="majorHAnsi"/>
          <w:b w:val="0"/>
          <w:szCs w:val="26"/>
        </w:rPr>
        <w:tab/>
      </w:r>
      <w:r w:rsidR="00DB0BED" w:rsidRPr="008D5057">
        <w:rPr>
          <w:rFonts w:asciiTheme="majorHAnsi" w:hAnsiTheme="majorHAnsi"/>
          <w:b w:val="0"/>
          <w:szCs w:val="26"/>
          <w:u w:val="single"/>
        </w:rPr>
        <w:t>Droit de propriété industrielle et intellectuelle</w:t>
      </w:r>
    </w:p>
    <w:p w14:paraId="399443E7" w14:textId="77777777" w:rsidR="00E163A2" w:rsidRPr="00F31A8E" w:rsidRDefault="00E163A2" w:rsidP="007F43D5">
      <w:pPr>
        <w:ind w:left="567" w:hanging="425"/>
        <w:rPr>
          <w:rFonts w:asciiTheme="majorHAnsi" w:hAnsiTheme="majorHAnsi"/>
          <w:sz w:val="24"/>
        </w:rPr>
      </w:pPr>
    </w:p>
    <w:p w14:paraId="2EB83CBC" w14:textId="6630047C" w:rsidR="00E163A2" w:rsidRPr="008D5057" w:rsidRDefault="00F31A8E" w:rsidP="007F43D5">
      <w:pPr>
        <w:ind w:left="567" w:hanging="425"/>
        <w:rPr>
          <w:rFonts w:asciiTheme="majorHAnsi" w:hAnsiTheme="majorHAnsi"/>
          <w:sz w:val="26"/>
          <w:szCs w:val="26"/>
        </w:rPr>
      </w:pPr>
      <w:r w:rsidRPr="008D5057">
        <w:rPr>
          <w:rFonts w:asciiTheme="majorHAnsi" w:hAnsiTheme="majorHAnsi"/>
          <w:sz w:val="26"/>
          <w:szCs w:val="26"/>
        </w:rPr>
        <w:t>7</w:t>
      </w:r>
      <w:r w:rsidR="00E163A2" w:rsidRPr="008D5057">
        <w:rPr>
          <w:rFonts w:asciiTheme="majorHAnsi" w:hAnsiTheme="majorHAnsi"/>
          <w:sz w:val="26"/>
          <w:szCs w:val="26"/>
        </w:rPr>
        <w:t xml:space="preserve"> </w:t>
      </w:r>
      <w:r w:rsidR="00E163A2" w:rsidRPr="008D5057">
        <w:rPr>
          <w:rFonts w:asciiTheme="majorHAnsi" w:hAnsiTheme="majorHAnsi"/>
          <w:sz w:val="26"/>
          <w:szCs w:val="26"/>
        </w:rPr>
        <w:tab/>
      </w:r>
      <w:r w:rsidR="00E163A2" w:rsidRPr="008D5057">
        <w:rPr>
          <w:rFonts w:asciiTheme="majorHAnsi" w:hAnsiTheme="majorHAnsi"/>
          <w:sz w:val="26"/>
          <w:szCs w:val="26"/>
          <w:u w:val="single"/>
        </w:rPr>
        <w:t>Modalités de détermination des prix</w:t>
      </w:r>
    </w:p>
    <w:p w14:paraId="6CFED761" w14:textId="4954B72B" w:rsidR="00E163A2" w:rsidRPr="00F31A8E" w:rsidRDefault="007F43D5" w:rsidP="007F43D5">
      <w:pPr>
        <w:ind w:left="567" w:hanging="425"/>
        <w:rPr>
          <w:rFonts w:asciiTheme="majorHAnsi" w:hAnsiTheme="majorHAnsi"/>
          <w:i/>
          <w:sz w:val="24"/>
        </w:rPr>
      </w:pPr>
      <w:r w:rsidRPr="00F31A8E">
        <w:rPr>
          <w:rFonts w:asciiTheme="majorHAnsi" w:hAnsiTheme="majorHAnsi"/>
          <w:i/>
          <w:sz w:val="24"/>
        </w:rPr>
        <w:tab/>
      </w:r>
      <w:r w:rsidR="00F31A8E" w:rsidRPr="00F31A8E">
        <w:rPr>
          <w:rFonts w:asciiTheme="majorHAnsi" w:hAnsiTheme="majorHAnsi"/>
          <w:i/>
          <w:sz w:val="24"/>
        </w:rPr>
        <w:t>7</w:t>
      </w:r>
      <w:r w:rsidR="00E163A2" w:rsidRPr="00F31A8E">
        <w:rPr>
          <w:rFonts w:asciiTheme="majorHAnsi" w:hAnsiTheme="majorHAnsi"/>
          <w:i/>
          <w:sz w:val="24"/>
        </w:rPr>
        <w:t>.1 Forme et contenu des prix</w:t>
      </w:r>
    </w:p>
    <w:p w14:paraId="07999156" w14:textId="714DA603" w:rsidR="00E163A2" w:rsidRPr="00F31A8E" w:rsidRDefault="007F43D5" w:rsidP="007F43D5">
      <w:pPr>
        <w:ind w:left="567" w:hanging="425"/>
        <w:rPr>
          <w:rFonts w:asciiTheme="majorHAnsi" w:hAnsiTheme="majorHAnsi"/>
          <w:i/>
          <w:sz w:val="24"/>
        </w:rPr>
      </w:pPr>
      <w:r w:rsidRPr="00F31A8E">
        <w:rPr>
          <w:rFonts w:asciiTheme="majorHAnsi" w:hAnsiTheme="majorHAnsi"/>
          <w:i/>
          <w:sz w:val="24"/>
        </w:rPr>
        <w:tab/>
      </w:r>
      <w:r w:rsidR="00F31A8E" w:rsidRPr="00F31A8E">
        <w:rPr>
          <w:rFonts w:asciiTheme="majorHAnsi" w:hAnsiTheme="majorHAnsi"/>
          <w:i/>
          <w:sz w:val="24"/>
        </w:rPr>
        <w:t>7.</w:t>
      </w:r>
      <w:r w:rsidR="00E163A2" w:rsidRPr="00F31A8E">
        <w:rPr>
          <w:rFonts w:asciiTheme="majorHAnsi" w:hAnsiTheme="majorHAnsi"/>
          <w:i/>
          <w:sz w:val="24"/>
        </w:rPr>
        <w:t>2 Caractère du prix</w:t>
      </w:r>
    </w:p>
    <w:p w14:paraId="296955B4" w14:textId="78F6D843" w:rsidR="00E163A2" w:rsidRPr="00F31A8E" w:rsidRDefault="007F43D5" w:rsidP="007F43D5">
      <w:pPr>
        <w:ind w:left="567" w:hanging="425"/>
        <w:jc w:val="left"/>
        <w:rPr>
          <w:rFonts w:asciiTheme="majorHAnsi" w:hAnsiTheme="majorHAnsi"/>
          <w:i/>
          <w:sz w:val="24"/>
        </w:rPr>
      </w:pPr>
      <w:r w:rsidRPr="00F31A8E">
        <w:rPr>
          <w:rFonts w:asciiTheme="majorHAnsi" w:hAnsiTheme="majorHAnsi"/>
          <w:i/>
          <w:sz w:val="24"/>
        </w:rPr>
        <w:tab/>
      </w:r>
      <w:r w:rsidR="00F31A8E" w:rsidRPr="00F31A8E">
        <w:rPr>
          <w:rFonts w:asciiTheme="majorHAnsi" w:hAnsiTheme="majorHAnsi"/>
          <w:i/>
          <w:sz w:val="24"/>
        </w:rPr>
        <w:t>7</w:t>
      </w:r>
      <w:r w:rsidR="00E163A2" w:rsidRPr="00F31A8E">
        <w:rPr>
          <w:rFonts w:asciiTheme="majorHAnsi" w:hAnsiTheme="majorHAnsi"/>
          <w:i/>
          <w:sz w:val="24"/>
        </w:rPr>
        <w:t xml:space="preserve">.3 </w:t>
      </w:r>
      <w:r w:rsidR="00F31A8E" w:rsidRPr="00F31A8E">
        <w:rPr>
          <w:rFonts w:asciiTheme="majorHAnsi" w:hAnsiTheme="majorHAnsi"/>
          <w:i/>
          <w:sz w:val="24"/>
        </w:rPr>
        <w:t>Révision</w:t>
      </w:r>
      <w:r w:rsidR="00E163A2" w:rsidRPr="00F31A8E">
        <w:rPr>
          <w:rFonts w:asciiTheme="majorHAnsi" w:hAnsiTheme="majorHAnsi"/>
          <w:i/>
          <w:sz w:val="24"/>
        </w:rPr>
        <w:t xml:space="preserve"> des prix</w:t>
      </w:r>
    </w:p>
    <w:p w14:paraId="30D373DC" w14:textId="053D1F25" w:rsidR="00F31A8E" w:rsidRPr="00F31A8E" w:rsidRDefault="00F31A8E" w:rsidP="007F43D5">
      <w:pPr>
        <w:ind w:left="567" w:hanging="425"/>
        <w:jc w:val="left"/>
        <w:rPr>
          <w:rFonts w:asciiTheme="majorHAnsi" w:hAnsiTheme="majorHAnsi"/>
          <w:i/>
          <w:sz w:val="24"/>
        </w:rPr>
      </w:pPr>
      <w:r w:rsidRPr="00F31A8E">
        <w:rPr>
          <w:rFonts w:asciiTheme="majorHAnsi" w:hAnsiTheme="majorHAnsi"/>
          <w:i/>
          <w:sz w:val="24"/>
        </w:rPr>
        <w:tab/>
        <w:t>7.4 Clause de sauvegarde</w:t>
      </w:r>
    </w:p>
    <w:p w14:paraId="3DA0F649" w14:textId="77777777" w:rsidR="00DB0BED" w:rsidRPr="00F31A8E" w:rsidRDefault="00DB0BED" w:rsidP="007F43D5">
      <w:pPr>
        <w:ind w:left="567" w:hanging="425"/>
        <w:rPr>
          <w:rFonts w:asciiTheme="majorHAnsi" w:hAnsiTheme="majorHAnsi"/>
          <w:sz w:val="24"/>
        </w:rPr>
      </w:pPr>
    </w:p>
    <w:p w14:paraId="6A567EDB" w14:textId="269845FD" w:rsidR="00E163A2" w:rsidRPr="008D5057" w:rsidRDefault="00F31A8E" w:rsidP="007F43D5">
      <w:pPr>
        <w:ind w:left="567" w:hanging="425"/>
        <w:rPr>
          <w:rFonts w:asciiTheme="majorHAnsi" w:hAnsiTheme="majorHAnsi"/>
          <w:sz w:val="26"/>
          <w:szCs w:val="26"/>
          <w:u w:val="single"/>
        </w:rPr>
      </w:pPr>
      <w:r w:rsidRPr="008D5057">
        <w:rPr>
          <w:rFonts w:asciiTheme="majorHAnsi" w:hAnsiTheme="majorHAnsi"/>
          <w:sz w:val="26"/>
          <w:szCs w:val="26"/>
        </w:rPr>
        <w:t>8</w:t>
      </w:r>
      <w:r w:rsidR="00E163A2" w:rsidRPr="008D5057">
        <w:rPr>
          <w:rFonts w:asciiTheme="majorHAnsi" w:hAnsiTheme="majorHAnsi"/>
          <w:sz w:val="26"/>
          <w:szCs w:val="26"/>
        </w:rPr>
        <w:tab/>
      </w:r>
      <w:r w:rsidR="00E163A2" w:rsidRPr="008D5057">
        <w:rPr>
          <w:rFonts w:asciiTheme="majorHAnsi" w:hAnsiTheme="majorHAnsi"/>
          <w:sz w:val="26"/>
          <w:szCs w:val="26"/>
          <w:u w:val="single"/>
        </w:rPr>
        <w:t>A</w:t>
      </w:r>
      <w:r w:rsidRPr="008D5057">
        <w:rPr>
          <w:rFonts w:asciiTheme="majorHAnsi" w:hAnsiTheme="majorHAnsi"/>
          <w:sz w:val="26"/>
          <w:szCs w:val="26"/>
          <w:u w:val="single"/>
        </w:rPr>
        <w:t>vance et acomptes</w:t>
      </w:r>
    </w:p>
    <w:p w14:paraId="3AC1BC40" w14:textId="13E1442D" w:rsidR="00F31A8E" w:rsidRPr="00F31A8E" w:rsidRDefault="00F31A8E" w:rsidP="00F31A8E">
      <w:pPr>
        <w:ind w:left="567"/>
        <w:rPr>
          <w:rFonts w:asciiTheme="majorHAnsi" w:hAnsiTheme="majorHAnsi"/>
          <w:i/>
          <w:sz w:val="24"/>
        </w:rPr>
      </w:pPr>
      <w:r w:rsidRPr="00F31A8E">
        <w:rPr>
          <w:rFonts w:asciiTheme="majorHAnsi" w:hAnsiTheme="majorHAnsi"/>
          <w:i/>
          <w:sz w:val="24"/>
        </w:rPr>
        <w:t>8.1 Avances</w:t>
      </w:r>
    </w:p>
    <w:p w14:paraId="44012320" w14:textId="2A9F149D" w:rsidR="00F31A8E" w:rsidRPr="00F31A8E" w:rsidRDefault="00F31A8E" w:rsidP="00F31A8E">
      <w:pPr>
        <w:ind w:left="567"/>
        <w:rPr>
          <w:rFonts w:asciiTheme="majorHAnsi" w:hAnsiTheme="majorHAnsi"/>
          <w:i/>
          <w:sz w:val="24"/>
        </w:rPr>
      </w:pPr>
      <w:r w:rsidRPr="00F31A8E">
        <w:rPr>
          <w:rFonts w:asciiTheme="majorHAnsi" w:hAnsiTheme="majorHAnsi"/>
          <w:i/>
          <w:sz w:val="24"/>
        </w:rPr>
        <w:t>8.2 Acomptes</w:t>
      </w:r>
    </w:p>
    <w:p w14:paraId="18A0C0B8" w14:textId="77777777" w:rsidR="00DB0BED" w:rsidRPr="008D5057" w:rsidRDefault="00DB0BED" w:rsidP="007F43D5">
      <w:pPr>
        <w:ind w:left="567" w:hanging="425"/>
        <w:rPr>
          <w:rFonts w:asciiTheme="majorHAnsi" w:hAnsiTheme="majorHAnsi"/>
          <w:sz w:val="24"/>
          <w:u w:val="single"/>
        </w:rPr>
      </w:pPr>
    </w:p>
    <w:p w14:paraId="134D887B" w14:textId="271DE627" w:rsidR="00E163A2" w:rsidRPr="008D5057" w:rsidRDefault="008D5057" w:rsidP="007F43D5">
      <w:pPr>
        <w:ind w:left="567" w:hanging="425"/>
        <w:rPr>
          <w:rFonts w:asciiTheme="majorHAnsi" w:hAnsiTheme="majorHAnsi"/>
          <w:sz w:val="26"/>
          <w:szCs w:val="26"/>
          <w:u w:val="single"/>
        </w:rPr>
      </w:pPr>
      <w:r w:rsidRPr="008D5057">
        <w:rPr>
          <w:rFonts w:asciiTheme="majorHAnsi" w:hAnsiTheme="majorHAnsi"/>
          <w:sz w:val="26"/>
          <w:szCs w:val="26"/>
        </w:rPr>
        <w:t>9</w:t>
      </w:r>
      <w:r w:rsidR="00E163A2" w:rsidRPr="008D5057">
        <w:rPr>
          <w:rFonts w:asciiTheme="majorHAnsi" w:hAnsiTheme="majorHAnsi"/>
          <w:sz w:val="26"/>
          <w:szCs w:val="26"/>
        </w:rPr>
        <w:tab/>
      </w:r>
      <w:r w:rsidR="00E163A2" w:rsidRPr="008D5057">
        <w:rPr>
          <w:rFonts w:asciiTheme="majorHAnsi" w:hAnsiTheme="majorHAnsi"/>
          <w:sz w:val="26"/>
          <w:szCs w:val="26"/>
          <w:u w:val="single"/>
        </w:rPr>
        <w:t>Facturation et paiement</w:t>
      </w:r>
    </w:p>
    <w:p w14:paraId="7BDAB2A0" w14:textId="347BD14B" w:rsidR="00DB0BED" w:rsidRDefault="00DB0BED" w:rsidP="007F43D5">
      <w:pPr>
        <w:ind w:left="567" w:hanging="425"/>
        <w:rPr>
          <w:rFonts w:asciiTheme="majorHAnsi" w:hAnsiTheme="majorHAnsi"/>
          <w:sz w:val="24"/>
          <w:u w:val="single"/>
        </w:rPr>
      </w:pPr>
    </w:p>
    <w:p w14:paraId="0D18F6FA" w14:textId="6E0B0DBE" w:rsidR="008D5057" w:rsidRPr="008D5057" w:rsidRDefault="008D5057" w:rsidP="007F43D5">
      <w:pPr>
        <w:ind w:left="567" w:hanging="425"/>
        <w:rPr>
          <w:rFonts w:asciiTheme="majorHAnsi" w:hAnsiTheme="majorHAnsi"/>
          <w:sz w:val="26"/>
          <w:szCs w:val="26"/>
          <w:u w:val="single"/>
        </w:rPr>
      </w:pPr>
      <w:r w:rsidRPr="008D5057">
        <w:rPr>
          <w:rFonts w:asciiTheme="majorHAnsi" w:hAnsiTheme="majorHAnsi"/>
          <w:sz w:val="26"/>
          <w:szCs w:val="26"/>
        </w:rPr>
        <w:t>10</w:t>
      </w:r>
      <w:r w:rsidRPr="008D5057">
        <w:rPr>
          <w:rFonts w:asciiTheme="majorHAnsi" w:hAnsiTheme="majorHAnsi"/>
          <w:sz w:val="26"/>
          <w:szCs w:val="26"/>
        </w:rPr>
        <w:tab/>
      </w:r>
      <w:r w:rsidRPr="008D5057">
        <w:rPr>
          <w:rFonts w:asciiTheme="majorHAnsi" w:hAnsiTheme="majorHAnsi"/>
          <w:sz w:val="26"/>
          <w:szCs w:val="26"/>
          <w:u w:val="single"/>
        </w:rPr>
        <w:t>Nantissement</w:t>
      </w:r>
    </w:p>
    <w:p w14:paraId="34191C3B" w14:textId="77777777" w:rsidR="00DB0BED" w:rsidRPr="00F31A8E" w:rsidRDefault="00DB0BED" w:rsidP="007F43D5">
      <w:pPr>
        <w:tabs>
          <w:tab w:val="left" w:pos="709"/>
        </w:tabs>
        <w:ind w:left="567" w:hanging="425"/>
        <w:rPr>
          <w:rFonts w:asciiTheme="majorHAnsi" w:hAnsiTheme="majorHAnsi"/>
          <w:sz w:val="24"/>
          <w:u w:val="single"/>
        </w:rPr>
      </w:pPr>
    </w:p>
    <w:p w14:paraId="702C4A48" w14:textId="72D4F677" w:rsidR="00E163A2" w:rsidRPr="008D5057" w:rsidRDefault="00DB0BED" w:rsidP="007F43D5">
      <w:pPr>
        <w:tabs>
          <w:tab w:val="left" w:pos="709"/>
        </w:tabs>
        <w:ind w:left="567" w:hanging="425"/>
        <w:rPr>
          <w:rFonts w:asciiTheme="majorHAnsi" w:hAnsiTheme="majorHAnsi"/>
          <w:sz w:val="26"/>
          <w:szCs w:val="26"/>
          <w:u w:val="single"/>
        </w:rPr>
      </w:pPr>
      <w:r w:rsidRPr="008D5057">
        <w:rPr>
          <w:rFonts w:asciiTheme="majorHAnsi" w:hAnsiTheme="majorHAnsi"/>
          <w:sz w:val="26"/>
          <w:szCs w:val="26"/>
        </w:rPr>
        <w:t>1</w:t>
      </w:r>
      <w:r w:rsidR="008D5057" w:rsidRPr="008D5057">
        <w:rPr>
          <w:rFonts w:asciiTheme="majorHAnsi" w:hAnsiTheme="majorHAnsi"/>
          <w:sz w:val="26"/>
          <w:szCs w:val="26"/>
        </w:rPr>
        <w:t>1</w:t>
      </w:r>
      <w:r w:rsidR="00E163A2" w:rsidRPr="008D5057">
        <w:rPr>
          <w:rFonts w:asciiTheme="majorHAnsi" w:hAnsiTheme="majorHAnsi"/>
          <w:sz w:val="26"/>
          <w:szCs w:val="26"/>
        </w:rPr>
        <w:tab/>
      </w:r>
      <w:r w:rsidR="00E163A2" w:rsidRPr="008D5057">
        <w:rPr>
          <w:rFonts w:asciiTheme="majorHAnsi" w:hAnsiTheme="majorHAnsi"/>
          <w:sz w:val="26"/>
          <w:szCs w:val="26"/>
          <w:u w:val="single"/>
        </w:rPr>
        <w:t>Résiliation</w:t>
      </w:r>
    </w:p>
    <w:p w14:paraId="6176977B" w14:textId="77777777" w:rsidR="00DB0BED" w:rsidRPr="00F31A8E" w:rsidRDefault="00DB0BED" w:rsidP="007F43D5">
      <w:pPr>
        <w:tabs>
          <w:tab w:val="left" w:pos="709"/>
        </w:tabs>
        <w:ind w:left="567" w:hanging="425"/>
        <w:rPr>
          <w:rFonts w:asciiTheme="majorHAnsi" w:hAnsiTheme="majorHAnsi"/>
          <w:sz w:val="24"/>
        </w:rPr>
      </w:pPr>
    </w:p>
    <w:p w14:paraId="6E2AA10B" w14:textId="1F0B3AB4" w:rsidR="00E163A2" w:rsidRPr="008D5057" w:rsidRDefault="00E163A2" w:rsidP="007F43D5">
      <w:pPr>
        <w:ind w:left="567" w:hanging="425"/>
        <w:rPr>
          <w:rFonts w:asciiTheme="majorHAnsi" w:hAnsiTheme="majorHAnsi"/>
          <w:sz w:val="26"/>
          <w:szCs w:val="26"/>
          <w:u w:val="single"/>
        </w:rPr>
      </w:pPr>
      <w:r w:rsidRPr="008D5057">
        <w:rPr>
          <w:rFonts w:asciiTheme="majorHAnsi" w:hAnsiTheme="majorHAnsi"/>
          <w:sz w:val="26"/>
          <w:szCs w:val="26"/>
        </w:rPr>
        <w:t>1</w:t>
      </w:r>
      <w:r w:rsidR="008D5057" w:rsidRPr="008D5057">
        <w:rPr>
          <w:rFonts w:asciiTheme="majorHAnsi" w:hAnsiTheme="majorHAnsi"/>
          <w:sz w:val="26"/>
          <w:szCs w:val="26"/>
        </w:rPr>
        <w:t>2</w:t>
      </w:r>
      <w:r w:rsidRPr="008D5057">
        <w:rPr>
          <w:rFonts w:asciiTheme="majorHAnsi" w:hAnsiTheme="majorHAnsi"/>
          <w:sz w:val="26"/>
          <w:szCs w:val="26"/>
        </w:rPr>
        <w:tab/>
      </w:r>
      <w:r w:rsidRPr="008D5057">
        <w:rPr>
          <w:rFonts w:asciiTheme="majorHAnsi" w:hAnsiTheme="majorHAnsi"/>
          <w:sz w:val="26"/>
          <w:szCs w:val="26"/>
          <w:u w:val="single"/>
        </w:rPr>
        <w:t>Pénalités de retard</w:t>
      </w:r>
    </w:p>
    <w:p w14:paraId="6CE6AB2E" w14:textId="77777777" w:rsidR="00DB0BED" w:rsidRPr="00F31A8E" w:rsidRDefault="00DB0BED" w:rsidP="007F43D5">
      <w:pPr>
        <w:ind w:left="567" w:hanging="425"/>
        <w:rPr>
          <w:rFonts w:asciiTheme="majorHAnsi" w:hAnsiTheme="majorHAnsi"/>
          <w:sz w:val="28"/>
          <w:szCs w:val="28"/>
          <w:u w:val="single"/>
        </w:rPr>
      </w:pPr>
    </w:p>
    <w:p w14:paraId="5BA2F1B3" w14:textId="518FB398" w:rsidR="00DB0BED" w:rsidRPr="008D5057" w:rsidRDefault="00DB0BED" w:rsidP="007F43D5">
      <w:pPr>
        <w:tabs>
          <w:tab w:val="left" w:pos="709"/>
        </w:tabs>
        <w:ind w:left="567" w:hanging="425"/>
        <w:rPr>
          <w:rFonts w:asciiTheme="majorHAnsi" w:hAnsiTheme="majorHAnsi"/>
          <w:sz w:val="26"/>
          <w:szCs w:val="26"/>
          <w:u w:val="single"/>
        </w:rPr>
      </w:pPr>
      <w:r w:rsidRPr="008D5057">
        <w:rPr>
          <w:rFonts w:asciiTheme="majorHAnsi" w:hAnsiTheme="majorHAnsi"/>
          <w:sz w:val="26"/>
          <w:szCs w:val="26"/>
        </w:rPr>
        <w:t>1</w:t>
      </w:r>
      <w:r w:rsidR="008D5057" w:rsidRPr="008D5057">
        <w:rPr>
          <w:rFonts w:asciiTheme="majorHAnsi" w:hAnsiTheme="majorHAnsi"/>
          <w:sz w:val="26"/>
          <w:szCs w:val="26"/>
        </w:rPr>
        <w:t>3</w:t>
      </w:r>
      <w:r w:rsidRPr="008D5057">
        <w:rPr>
          <w:rFonts w:asciiTheme="majorHAnsi" w:hAnsiTheme="majorHAnsi"/>
          <w:sz w:val="26"/>
          <w:szCs w:val="26"/>
        </w:rPr>
        <w:tab/>
      </w:r>
      <w:r w:rsidRPr="008D5057">
        <w:rPr>
          <w:rFonts w:asciiTheme="majorHAnsi" w:hAnsiTheme="majorHAnsi"/>
          <w:sz w:val="26"/>
          <w:szCs w:val="26"/>
          <w:u w:val="single"/>
        </w:rPr>
        <w:t>Claude de confidentialité</w:t>
      </w:r>
    </w:p>
    <w:p w14:paraId="6298637D" w14:textId="78F6AF2D" w:rsidR="00DB0BED" w:rsidRPr="00F31A8E" w:rsidRDefault="00DB0BED" w:rsidP="007F43D5">
      <w:pPr>
        <w:ind w:left="567" w:hanging="425"/>
        <w:rPr>
          <w:rFonts w:asciiTheme="majorHAnsi" w:hAnsiTheme="majorHAnsi"/>
          <w:sz w:val="24"/>
          <w:u w:val="single"/>
        </w:rPr>
      </w:pPr>
    </w:p>
    <w:p w14:paraId="74710A9E" w14:textId="45455DE7" w:rsidR="00E163A2" w:rsidRPr="008D5057" w:rsidRDefault="00DB0BED" w:rsidP="007F43D5">
      <w:pPr>
        <w:ind w:left="567" w:hanging="425"/>
        <w:rPr>
          <w:rFonts w:asciiTheme="majorHAnsi" w:hAnsiTheme="majorHAnsi"/>
          <w:sz w:val="26"/>
          <w:szCs w:val="26"/>
          <w:u w:val="single"/>
        </w:rPr>
      </w:pPr>
      <w:r w:rsidRPr="008D5057">
        <w:rPr>
          <w:rFonts w:asciiTheme="majorHAnsi" w:hAnsiTheme="majorHAnsi"/>
          <w:sz w:val="26"/>
          <w:szCs w:val="26"/>
        </w:rPr>
        <w:t>1</w:t>
      </w:r>
      <w:r w:rsidR="008D5057" w:rsidRPr="008D5057">
        <w:rPr>
          <w:rFonts w:asciiTheme="majorHAnsi" w:hAnsiTheme="majorHAnsi"/>
          <w:sz w:val="26"/>
          <w:szCs w:val="26"/>
        </w:rPr>
        <w:t>4</w:t>
      </w:r>
      <w:r w:rsidR="00E163A2" w:rsidRPr="008D5057">
        <w:rPr>
          <w:rFonts w:asciiTheme="majorHAnsi" w:hAnsiTheme="majorHAnsi"/>
          <w:sz w:val="26"/>
          <w:szCs w:val="26"/>
        </w:rPr>
        <w:tab/>
      </w:r>
      <w:r w:rsidR="00E163A2" w:rsidRPr="008D5057">
        <w:rPr>
          <w:rFonts w:asciiTheme="majorHAnsi" w:hAnsiTheme="majorHAnsi"/>
          <w:sz w:val="26"/>
          <w:szCs w:val="26"/>
          <w:u w:val="single"/>
        </w:rPr>
        <w:t>Dérogations aux documents généraux</w:t>
      </w:r>
    </w:p>
    <w:p w14:paraId="70A8B885" w14:textId="77777777" w:rsidR="00DB0BED" w:rsidRPr="00F31A8E" w:rsidRDefault="00DB0BED" w:rsidP="007F43D5">
      <w:pPr>
        <w:ind w:left="567" w:hanging="425"/>
        <w:rPr>
          <w:rFonts w:asciiTheme="majorHAnsi" w:hAnsiTheme="majorHAnsi"/>
          <w:sz w:val="24"/>
        </w:rPr>
      </w:pPr>
    </w:p>
    <w:p w14:paraId="2FB157B2" w14:textId="7D440A7F" w:rsidR="00E163A2" w:rsidRPr="008D5057" w:rsidRDefault="008D5057" w:rsidP="007F43D5">
      <w:pPr>
        <w:ind w:left="567" w:hanging="425"/>
        <w:rPr>
          <w:rFonts w:asciiTheme="majorHAnsi" w:hAnsiTheme="majorHAnsi"/>
          <w:sz w:val="26"/>
          <w:szCs w:val="26"/>
          <w:u w:val="single"/>
        </w:rPr>
      </w:pPr>
      <w:r w:rsidRPr="008D5057">
        <w:rPr>
          <w:rFonts w:asciiTheme="majorHAnsi" w:hAnsiTheme="majorHAnsi"/>
          <w:sz w:val="26"/>
          <w:szCs w:val="26"/>
        </w:rPr>
        <w:t>15</w:t>
      </w:r>
      <w:r w:rsidR="00E163A2" w:rsidRPr="008D5057">
        <w:rPr>
          <w:rFonts w:asciiTheme="majorHAnsi" w:hAnsiTheme="majorHAnsi"/>
          <w:sz w:val="26"/>
          <w:szCs w:val="26"/>
        </w:rPr>
        <w:tab/>
      </w:r>
      <w:r w:rsidR="00E163A2" w:rsidRPr="008D5057">
        <w:rPr>
          <w:rFonts w:asciiTheme="majorHAnsi" w:hAnsiTheme="majorHAnsi"/>
          <w:sz w:val="26"/>
          <w:szCs w:val="26"/>
          <w:u w:val="single"/>
        </w:rPr>
        <w:t>Voies et délais de recours</w:t>
      </w:r>
    </w:p>
    <w:p w14:paraId="1B6E4ADA" w14:textId="77777777" w:rsidR="00673D24" w:rsidRPr="008D5057" w:rsidRDefault="00673D24" w:rsidP="00426584">
      <w:pPr>
        <w:pStyle w:val="Titre"/>
        <w:jc w:val="left"/>
        <w:rPr>
          <w:rFonts w:asciiTheme="majorHAnsi" w:hAnsiTheme="majorHAnsi"/>
          <w:sz w:val="26"/>
          <w:szCs w:val="26"/>
        </w:rPr>
        <w:sectPr w:rsidR="00673D24" w:rsidRPr="008D5057" w:rsidSect="008D5057">
          <w:headerReference w:type="default" r:id="rId9"/>
          <w:footerReference w:type="default" r:id="rId10"/>
          <w:footerReference w:type="first" r:id="rId11"/>
          <w:type w:val="continuous"/>
          <w:pgSz w:w="11907" w:h="16840"/>
          <w:pgMar w:top="426" w:right="1418" w:bottom="1135" w:left="1418" w:header="567" w:footer="628" w:gutter="0"/>
          <w:cols w:space="720"/>
          <w:titlePg/>
        </w:sectPr>
      </w:pPr>
    </w:p>
    <w:p w14:paraId="713A5965" w14:textId="77777777" w:rsidR="00673D24" w:rsidRPr="00C44970" w:rsidRDefault="00673D24" w:rsidP="000F1608">
      <w:pPr>
        <w:pStyle w:val="Tit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rPr>
      </w:pPr>
      <w:r w:rsidRPr="00C44970">
        <w:rPr>
          <w:rFonts w:asciiTheme="majorHAnsi" w:hAnsiTheme="majorHAnsi"/>
        </w:rPr>
        <w:lastRenderedPageBreak/>
        <w:t>CAHIER DES CLAUSES PARTICULIERES</w:t>
      </w:r>
    </w:p>
    <w:p w14:paraId="66846D7A" w14:textId="77777777" w:rsidR="00673D24" w:rsidRPr="00C44970" w:rsidRDefault="00673D24" w:rsidP="000F1608">
      <w:pPr>
        <w:pStyle w:val="Titre"/>
        <w:jc w:val="both"/>
        <w:rPr>
          <w:rFonts w:asciiTheme="majorHAnsi" w:hAnsiTheme="majorHAnsi"/>
        </w:rPr>
      </w:pPr>
    </w:p>
    <w:p w14:paraId="49A89853" w14:textId="77777777" w:rsidR="00020DDE" w:rsidRPr="00C44970" w:rsidRDefault="00020DDE" w:rsidP="000F1608">
      <w:pPr>
        <w:pStyle w:val="Titre"/>
        <w:jc w:val="both"/>
        <w:rPr>
          <w:rFonts w:asciiTheme="majorHAnsi" w:hAnsiTheme="majorHAnsi"/>
        </w:rPr>
      </w:pPr>
    </w:p>
    <w:p w14:paraId="6C826EDD" w14:textId="77777777" w:rsidR="004F663F" w:rsidRPr="00C44970" w:rsidRDefault="004F663F" w:rsidP="00847D75">
      <w:pPr>
        <w:pStyle w:val="Titre"/>
        <w:jc w:val="both"/>
        <w:rPr>
          <w:rFonts w:asciiTheme="majorHAnsi" w:hAnsiTheme="majorHAnsi"/>
          <w:sz w:val="24"/>
        </w:rPr>
      </w:pPr>
    </w:p>
    <w:p w14:paraId="62E40829" w14:textId="2E10A20D" w:rsidR="00673D24" w:rsidRPr="00C44970" w:rsidRDefault="00673D24" w:rsidP="00C12545">
      <w:pPr>
        <w:pStyle w:val="Titre1"/>
        <w:keepNext w:val="0"/>
        <w:numPr>
          <w:ilvl w:val="0"/>
          <w:numId w:val="33"/>
        </w:numPr>
        <w:spacing w:before="0" w:after="0"/>
        <w:rPr>
          <w:rFonts w:asciiTheme="majorHAnsi" w:hAnsiTheme="majorHAnsi"/>
          <w:sz w:val="28"/>
          <w:szCs w:val="28"/>
          <w:u w:val="single"/>
        </w:rPr>
      </w:pPr>
      <w:r w:rsidRPr="00C44970">
        <w:rPr>
          <w:rFonts w:asciiTheme="majorHAnsi" w:hAnsiTheme="majorHAnsi"/>
          <w:sz w:val="28"/>
          <w:szCs w:val="28"/>
          <w:u w:val="single"/>
        </w:rPr>
        <w:t>Objet et étendue de la consultation</w:t>
      </w:r>
      <w:bookmarkEnd w:id="0"/>
    </w:p>
    <w:p w14:paraId="6119F678" w14:textId="77777777" w:rsidR="004F663F" w:rsidRPr="00C44970" w:rsidRDefault="004F663F" w:rsidP="00C12545">
      <w:pPr>
        <w:pStyle w:val="Titre2"/>
        <w:numPr>
          <w:ilvl w:val="0"/>
          <w:numId w:val="0"/>
        </w:numPr>
        <w:spacing w:before="0" w:after="0"/>
        <w:jc w:val="both"/>
        <w:rPr>
          <w:rFonts w:asciiTheme="majorHAnsi" w:hAnsiTheme="majorHAnsi"/>
          <w:i w:val="0"/>
          <w:sz w:val="22"/>
        </w:rPr>
      </w:pPr>
      <w:bookmarkStart w:id="1" w:name="_Toc306030568"/>
    </w:p>
    <w:p w14:paraId="3C1130D0" w14:textId="288E4E39" w:rsidR="00673D24" w:rsidRPr="00C44970" w:rsidRDefault="006F7EEA" w:rsidP="00C12545">
      <w:pPr>
        <w:pStyle w:val="Titre2"/>
        <w:numPr>
          <w:ilvl w:val="0"/>
          <w:numId w:val="0"/>
        </w:numPr>
        <w:spacing w:before="0" w:after="0"/>
        <w:ind w:left="1134"/>
        <w:jc w:val="both"/>
        <w:rPr>
          <w:rFonts w:asciiTheme="majorHAnsi" w:hAnsiTheme="majorHAnsi"/>
          <w:b/>
        </w:rPr>
      </w:pPr>
      <w:r>
        <w:rPr>
          <w:rFonts w:asciiTheme="majorHAnsi" w:hAnsiTheme="majorHAnsi"/>
          <w:b/>
        </w:rPr>
        <w:t>1.</w:t>
      </w:r>
      <w:r w:rsidR="006F212E" w:rsidRPr="00C44970">
        <w:rPr>
          <w:rFonts w:asciiTheme="majorHAnsi" w:hAnsiTheme="majorHAnsi"/>
          <w:b/>
        </w:rPr>
        <w:t xml:space="preserve">1 - </w:t>
      </w:r>
      <w:r w:rsidR="00673D24" w:rsidRPr="00C44970">
        <w:rPr>
          <w:rFonts w:asciiTheme="majorHAnsi" w:hAnsiTheme="majorHAnsi"/>
          <w:b/>
        </w:rPr>
        <w:t>Objet de la consultation</w:t>
      </w:r>
      <w:bookmarkEnd w:id="1"/>
    </w:p>
    <w:p w14:paraId="7BEB3035" w14:textId="77777777" w:rsidR="006F7EEA" w:rsidRPr="00C44970" w:rsidRDefault="007F369C" w:rsidP="00C12545">
      <w:pPr>
        <w:keepLines/>
        <w:tabs>
          <w:tab w:val="left" w:pos="567"/>
          <w:tab w:val="left" w:pos="851"/>
          <w:tab w:val="left" w:pos="1134"/>
        </w:tabs>
        <w:overflowPunct w:val="0"/>
        <w:autoSpaceDE w:val="0"/>
        <w:autoSpaceDN w:val="0"/>
        <w:adjustRightInd w:val="0"/>
        <w:textAlignment w:val="baseline"/>
        <w:rPr>
          <w:rFonts w:asciiTheme="majorHAnsi" w:hAnsiTheme="majorHAnsi"/>
          <w:sz w:val="24"/>
        </w:rPr>
      </w:pPr>
      <w:r w:rsidRPr="00C44970">
        <w:rPr>
          <w:rFonts w:asciiTheme="majorHAnsi" w:hAnsiTheme="majorHAnsi"/>
          <w:sz w:val="24"/>
        </w:rPr>
        <w:t xml:space="preserve">Le présent appel d’offre a pour objet </w:t>
      </w:r>
      <w:r w:rsidR="000C64B9" w:rsidRPr="00C44970">
        <w:rPr>
          <w:rFonts w:asciiTheme="majorHAnsi" w:hAnsiTheme="majorHAnsi"/>
          <w:sz w:val="24"/>
        </w:rPr>
        <w:t xml:space="preserve">la refonte du site internet de l’Institut </w:t>
      </w:r>
      <w:r w:rsidR="006F7EEA" w:rsidRPr="00C44970">
        <w:rPr>
          <w:rFonts w:asciiTheme="majorHAnsi" w:hAnsiTheme="majorHAnsi"/>
          <w:sz w:val="24"/>
        </w:rPr>
        <w:t>d’</w:t>
      </w:r>
      <w:r w:rsidR="006F7EEA">
        <w:rPr>
          <w:rFonts w:asciiTheme="majorHAnsi" w:hAnsiTheme="majorHAnsi"/>
          <w:sz w:val="24"/>
        </w:rPr>
        <w:t>A</w:t>
      </w:r>
      <w:r w:rsidR="006F7EEA" w:rsidRPr="00C44970">
        <w:rPr>
          <w:rFonts w:asciiTheme="majorHAnsi" w:hAnsiTheme="majorHAnsi"/>
          <w:sz w:val="24"/>
        </w:rPr>
        <w:t xml:space="preserve">dministration des </w:t>
      </w:r>
      <w:r w:rsidR="006F7EEA">
        <w:rPr>
          <w:rFonts w:asciiTheme="majorHAnsi" w:hAnsiTheme="majorHAnsi"/>
          <w:sz w:val="24"/>
        </w:rPr>
        <w:t>E</w:t>
      </w:r>
      <w:r w:rsidR="006F7EEA" w:rsidRPr="00C44970">
        <w:rPr>
          <w:rFonts w:asciiTheme="majorHAnsi" w:hAnsiTheme="majorHAnsi"/>
          <w:sz w:val="24"/>
        </w:rPr>
        <w:t>ntreprises de Paris</w:t>
      </w:r>
      <w:r w:rsidR="006F7EEA">
        <w:rPr>
          <w:rFonts w:asciiTheme="majorHAnsi" w:hAnsiTheme="majorHAnsi"/>
          <w:sz w:val="24"/>
        </w:rPr>
        <w:t>.</w:t>
      </w:r>
    </w:p>
    <w:p w14:paraId="3BD2C9F2" w14:textId="77777777" w:rsidR="006F7EEA" w:rsidRPr="006F7EEA" w:rsidRDefault="006F7EEA" w:rsidP="00C12545">
      <w:pPr>
        <w:pStyle w:val="Titre"/>
        <w:jc w:val="left"/>
        <w:rPr>
          <w:rFonts w:asciiTheme="majorHAnsi" w:hAnsiTheme="majorHAnsi"/>
          <w:sz w:val="22"/>
        </w:rPr>
      </w:pPr>
    </w:p>
    <w:p w14:paraId="209A1831" w14:textId="1243814E" w:rsidR="006F7EEA" w:rsidRPr="006F7EEA" w:rsidRDefault="006F7EEA" w:rsidP="00C12545">
      <w:pPr>
        <w:pStyle w:val="Titre"/>
        <w:jc w:val="both"/>
        <w:rPr>
          <w:rFonts w:asciiTheme="majorHAnsi" w:hAnsiTheme="majorHAnsi"/>
          <w:b w:val="0"/>
          <w:sz w:val="22"/>
        </w:rPr>
      </w:pPr>
      <w:r w:rsidRPr="006F7EEA">
        <w:rPr>
          <w:rFonts w:asciiTheme="majorHAnsi" w:hAnsiTheme="majorHAnsi"/>
          <w:b w:val="0"/>
          <w:sz w:val="22"/>
        </w:rPr>
        <w:t xml:space="preserve">Le </w:t>
      </w:r>
      <w:r>
        <w:rPr>
          <w:rFonts w:asciiTheme="majorHAnsi" w:hAnsiTheme="majorHAnsi"/>
          <w:b w:val="0"/>
          <w:sz w:val="22"/>
        </w:rPr>
        <w:t>t</w:t>
      </w:r>
      <w:r w:rsidRPr="006F7EEA">
        <w:rPr>
          <w:rFonts w:asciiTheme="majorHAnsi" w:hAnsiTheme="majorHAnsi"/>
          <w:b w:val="0"/>
          <w:sz w:val="22"/>
        </w:rPr>
        <w:t>itulaire s’engage envers l’IAE de Paris à ex</w:t>
      </w:r>
      <w:r>
        <w:rPr>
          <w:rFonts w:asciiTheme="majorHAnsi" w:hAnsiTheme="majorHAnsi"/>
          <w:b w:val="0"/>
          <w:sz w:val="22"/>
        </w:rPr>
        <w:t>écuter</w:t>
      </w:r>
      <w:r w:rsidRPr="006F7EEA">
        <w:rPr>
          <w:rFonts w:asciiTheme="majorHAnsi" w:hAnsiTheme="majorHAnsi"/>
          <w:b w:val="0"/>
          <w:sz w:val="22"/>
        </w:rPr>
        <w:t xml:space="preserve"> les prestations ci-après décrites aux conditions stipulées par le présent marché.</w:t>
      </w:r>
    </w:p>
    <w:p w14:paraId="17BFFDD3" w14:textId="20C9ADBC" w:rsidR="007F369C" w:rsidRPr="00C44970" w:rsidRDefault="007F369C" w:rsidP="00C12545">
      <w:pPr>
        <w:keepLines/>
        <w:tabs>
          <w:tab w:val="left" w:pos="567"/>
          <w:tab w:val="left" w:pos="851"/>
          <w:tab w:val="left" w:pos="1134"/>
        </w:tabs>
        <w:overflowPunct w:val="0"/>
        <w:autoSpaceDE w:val="0"/>
        <w:autoSpaceDN w:val="0"/>
        <w:adjustRightInd w:val="0"/>
        <w:textAlignment w:val="baseline"/>
        <w:rPr>
          <w:rFonts w:asciiTheme="majorHAnsi" w:hAnsiTheme="majorHAnsi"/>
          <w:sz w:val="24"/>
        </w:rPr>
      </w:pPr>
    </w:p>
    <w:p w14:paraId="493F7BE3" w14:textId="23143792" w:rsidR="00507D6C" w:rsidRPr="00C44970" w:rsidRDefault="00507D6C" w:rsidP="00C12545">
      <w:pPr>
        <w:keepLines/>
        <w:tabs>
          <w:tab w:val="left" w:pos="567"/>
          <w:tab w:val="left" w:pos="851"/>
          <w:tab w:val="left" w:pos="1134"/>
        </w:tabs>
        <w:overflowPunct w:val="0"/>
        <w:autoSpaceDE w:val="0"/>
        <w:autoSpaceDN w:val="0"/>
        <w:adjustRightInd w:val="0"/>
        <w:textAlignment w:val="baseline"/>
        <w:rPr>
          <w:rFonts w:asciiTheme="majorHAnsi" w:hAnsiTheme="majorHAnsi"/>
          <w:noProof/>
          <w:sz w:val="24"/>
        </w:rPr>
      </w:pPr>
      <w:r w:rsidRPr="00C44970">
        <w:rPr>
          <w:rFonts w:asciiTheme="majorHAnsi" w:hAnsiTheme="majorHAnsi"/>
          <w:noProof/>
          <w:sz w:val="24"/>
        </w:rPr>
        <w:t xml:space="preserve">Le titulaire devra </w:t>
      </w:r>
      <w:r w:rsidR="002119E8" w:rsidRPr="00C44970">
        <w:rPr>
          <w:rFonts w:asciiTheme="majorHAnsi" w:hAnsiTheme="majorHAnsi"/>
          <w:noProof/>
          <w:sz w:val="24"/>
        </w:rPr>
        <w:t>c</w:t>
      </w:r>
      <w:r w:rsidRPr="00C44970">
        <w:rPr>
          <w:rFonts w:asciiTheme="majorHAnsi" w:hAnsiTheme="majorHAnsi"/>
          <w:noProof/>
          <w:sz w:val="24"/>
        </w:rPr>
        <w:t>oncevoir et réaliser le site internet de l’IAE de Paris et sa déclinaison en langue anglaise. Celle-ci aura des rubriques communes avec le site en français et comprendra</w:t>
      </w:r>
      <w:r w:rsidR="002119E8" w:rsidRPr="00C44970">
        <w:rPr>
          <w:rFonts w:asciiTheme="majorHAnsi" w:hAnsiTheme="majorHAnsi"/>
          <w:noProof/>
          <w:sz w:val="24"/>
        </w:rPr>
        <w:t xml:space="preserve"> </w:t>
      </w:r>
      <w:r w:rsidRPr="00C44970">
        <w:rPr>
          <w:rFonts w:asciiTheme="majorHAnsi" w:hAnsiTheme="majorHAnsi"/>
          <w:noProof/>
          <w:sz w:val="24"/>
        </w:rPr>
        <w:t>également des contenus originaux, pensés pour les cibles spécifiques à l’international.</w:t>
      </w:r>
    </w:p>
    <w:p w14:paraId="59A48E17" w14:textId="003661B1" w:rsidR="002119E8" w:rsidRPr="00C44970" w:rsidRDefault="002119E8" w:rsidP="00C12545">
      <w:pPr>
        <w:keepLines/>
        <w:tabs>
          <w:tab w:val="left" w:pos="567"/>
          <w:tab w:val="left" w:pos="851"/>
          <w:tab w:val="left" w:pos="1134"/>
        </w:tabs>
        <w:overflowPunct w:val="0"/>
        <w:autoSpaceDE w:val="0"/>
        <w:autoSpaceDN w:val="0"/>
        <w:adjustRightInd w:val="0"/>
        <w:textAlignment w:val="baseline"/>
        <w:rPr>
          <w:rFonts w:asciiTheme="majorHAnsi" w:hAnsiTheme="majorHAnsi"/>
          <w:noProof/>
          <w:sz w:val="24"/>
        </w:rPr>
      </w:pPr>
    </w:p>
    <w:p w14:paraId="414E6877" w14:textId="1ECDBB3B" w:rsidR="002119E8" w:rsidRPr="00C44970" w:rsidRDefault="002119E8" w:rsidP="00C12545">
      <w:pPr>
        <w:keepLines/>
        <w:tabs>
          <w:tab w:val="left" w:pos="567"/>
          <w:tab w:val="left" w:pos="851"/>
          <w:tab w:val="left" w:pos="1134"/>
        </w:tabs>
        <w:overflowPunct w:val="0"/>
        <w:autoSpaceDE w:val="0"/>
        <w:autoSpaceDN w:val="0"/>
        <w:adjustRightInd w:val="0"/>
        <w:textAlignment w:val="baseline"/>
        <w:rPr>
          <w:rFonts w:asciiTheme="majorHAnsi" w:hAnsiTheme="majorHAnsi"/>
          <w:noProof/>
          <w:sz w:val="24"/>
        </w:rPr>
      </w:pPr>
      <w:r w:rsidRPr="00C44970">
        <w:rPr>
          <w:rFonts w:asciiTheme="majorHAnsi" w:hAnsiTheme="majorHAnsi"/>
          <w:noProof/>
          <w:sz w:val="24"/>
        </w:rPr>
        <w:t xml:space="preserve">Le titulaire devra assurer </w:t>
      </w:r>
      <w:r w:rsidR="00C65D65">
        <w:rPr>
          <w:rFonts w:asciiTheme="majorHAnsi" w:hAnsiTheme="majorHAnsi"/>
          <w:noProof/>
          <w:sz w:val="24"/>
        </w:rPr>
        <w:t xml:space="preserve">l’hébergement et </w:t>
      </w:r>
      <w:r w:rsidRPr="00C44970">
        <w:rPr>
          <w:rFonts w:asciiTheme="majorHAnsi" w:hAnsiTheme="majorHAnsi"/>
          <w:noProof/>
          <w:sz w:val="24"/>
        </w:rPr>
        <w:t>la maintenance du site</w:t>
      </w:r>
      <w:r w:rsidR="00713077" w:rsidRPr="00C44970">
        <w:rPr>
          <w:rFonts w:asciiTheme="majorHAnsi" w:hAnsiTheme="majorHAnsi"/>
          <w:noProof/>
          <w:sz w:val="24"/>
        </w:rPr>
        <w:t xml:space="preserve">. </w:t>
      </w:r>
    </w:p>
    <w:p w14:paraId="268DA952" w14:textId="06D08DD1" w:rsidR="00507D6C" w:rsidRPr="00C44970" w:rsidRDefault="00507D6C" w:rsidP="00C12545">
      <w:pPr>
        <w:keepLines/>
        <w:tabs>
          <w:tab w:val="left" w:pos="567"/>
          <w:tab w:val="left" w:pos="851"/>
          <w:tab w:val="left" w:pos="1134"/>
        </w:tabs>
        <w:overflowPunct w:val="0"/>
        <w:autoSpaceDE w:val="0"/>
        <w:autoSpaceDN w:val="0"/>
        <w:adjustRightInd w:val="0"/>
        <w:textAlignment w:val="baseline"/>
        <w:rPr>
          <w:rFonts w:asciiTheme="majorHAnsi" w:hAnsiTheme="majorHAnsi"/>
          <w:noProof/>
          <w:sz w:val="24"/>
        </w:rPr>
      </w:pPr>
    </w:p>
    <w:p w14:paraId="3B794325" w14:textId="77777777" w:rsidR="007F369C" w:rsidRPr="00C44970" w:rsidRDefault="007F369C" w:rsidP="00C12545">
      <w:pPr>
        <w:keepLines/>
        <w:tabs>
          <w:tab w:val="left" w:pos="567"/>
          <w:tab w:val="left" w:pos="851"/>
          <w:tab w:val="left" w:pos="1134"/>
        </w:tabs>
        <w:overflowPunct w:val="0"/>
        <w:autoSpaceDE w:val="0"/>
        <w:autoSpaceDN w:val="0"/>
        <w:adjustRightInd w:val="0"/>
        <w:textAlignment w:val="baseline"/>
        <w:rPr>
          <w:rFonts w:asciiTheme="majorHAnsi" w:hAnsiTheme="majorHAnsi"/>
          <w:b/>
          <w:bCs/>
          <w:noProof/>
          <w:sz w:val="24"/>
        </w:rPr>
      </w:pPr>
      <w:r w:rsidRPr="00C44970">
        <w:rPr>
          <w:rFonts w:asciiTheme="majorHAnsi" w:hAnsiTheme="majorHAnsi"/>
          <w:sz w:val="24"/>
        </w:rPr>
        <w:t>Le pouvoir adjudicateur est le directeur de l'Institut d'Administration des Entreprises de Paris.</w:t>
      </w:r>
    </w:p>
    <w:p w14:paraId="3611C4D3" w14:textId="77777777" w:rsidR="00673D24" w:rsidRPr="00C44970" w:rsidRDefault="00673D24" w:rsidP="00C12545">
      <w:pPr>
        <w:rPr>
          <w:rFonts w:asciiTheme="majorHAnsi" w:hAnsiTheme="majorHAnsi"/>
          <w:sz w:val="24"/>
        </w:rPr>
      </w:pPr>
    </w:p>
    <w:p w14:paraId="5ED5B0F0" w14:textId="22E969B9" w:rsidR="00673D24" w:rsidRPr="006F7EEA" w:rsidRDefault="006F7EEA" w:rsidP="00C12545">
      <w:pPr>
        <w:pStyle w:val="Titre2"/>
        <w:numPr>
          <w:ilvl w:val="0"/>
          <w:numId w:val="0"/>
        </w:numPr>
        <w:spacing w:before="0" w:after="0"/>
        <w:ind w:left="1135"/>
        <w:jc w:val="both"/>
        <w:rPr>
          <w:rFonts w:asciiTheme="majorHAnsi" w:hAnsiTheme="majorHAnsi"/>
          <w:b/>
        </w:rPr>
      </w:pPr>
      <w:bookmarkStart w:id="2" w:name="_Toc306030569"/>
      <w:r>
        <w:rPr>
          <w:rFonts w:asciiTheme="majorHAnsi" w:hAnsiTheme="majorHAnsi"/>
          <w:b/>
        </w:rPr>
        <w:t>1.2–</w:t>
      </w:r>
      <w:r w:rsidR="006F212E" w:rsidRPr="00C44970">
        <w:rPr>
          <w:rFonts w:asciiTheme="majorHAnsi" w:hAnsiTheme="majorHAnsi"/>
          <w:b/>
        </w:rPr>
        <w:t xml:space="preserve"> </w:t>
      </w:r>
      <w:r>
        <w:rPr>
          <w:rFonts w:asciiTheme="majorHAnsi" w:hAnsiTheme="majorHAnsi"/>
          <w:b/>
        </w:rPr>
        <w:t xml:space="preserve">Etendue </w:t>
      </w:r>
      <w:r w:rsidR="00673D24" w:rsidRPr="00C44970">
        <w:rPr>
          <w:rFonts w:asciiTheme="majorHAnsi" w:hAnsiTheme="majorHAnsi"/>
          <w:b/>
        </w:rPr>
        <w:t>de la consultation</w:t>
      </w:r>
      <w:bookmarkEnd w:id="2"/>
    </w:p>
    <w:p w14:paraId="46F1E01F" w14:textId="6AB41035" w:rsidR="007F369C" w:rsidRPr="00C44970" w:rsidRDefault="007F369C" w:rsidP="00C12545">
      <w:pPr>
        <w:keepLines/>
        <w:tabs>
          <w:tab w:val="left" w:pos="567"/>
          <w:tab w:val="left" w:pos="851"/>
          <w:tab w:val="left" w:pos="1134"/>
        </w:tabs>
        <w:overflowPunct w:val="0"/>
        <w:autoSpaceDE w:val="0"/>
        <w:autoSpaceDN w:val="0"/>
        <w:adjustRightInd w:val="0"/>
        <w:textAlignment w:val="baseline"/>
        <w:rPr>
          <w:rFonts w:asciiTheme="majorHAnsi" w:hAnsiTheme="majorHAnsi"/>
          <w:sz w:val="24"/>
        </w:rPr>
      </w:pPr>
      <w:r w:rsidRPr="00C44970">
        <w:rPr>
          <w:rFonts w:asciiTheme="majorHAnsi" w:hAnsiTheme="majorHAnsi"/>
          <w:sz w:val="24"/>
        </w:rPr>
        <w:t xml:space="preserve">Le présent marché est soumis aux dispositions du </w:t>
      </w:r>
      <w:r w:rsidRPr="007F43D5">
        <w:rPr>
          <w:rFonts w:asciiTheme="majorHAnsi" w:hAnsiTheme="majorHAnsi"/>
          <w:sz w:val="24"/>
        </w:rPr>
        <w:t>décret n° 2016-360 du 25 mars 2016 relatif</w:t>
      </w:r>
      <w:r w:rsidRPr="00C44970">
        <w:rPr>
          <w:rFonts w:asciiTheme="majorHAnsi" w:hAnsiTheme="majorHAnsi"/>
          <w:sz w:val="24"/>
          <w:u w:val="single"/>
        </w:rPr>
        <w:t xml:space="preserve"> </w:t>
      </w:r>
      <w:r w:rsidRPr="007F43D5">
        <w:rPr>
          <w:rFonts w:asciiTheme="majorHAnsi" w:hAnsiTheme="majorHAnsi"/>
          <w:sz w:val="24"/>
        </w:rPr>
        <w:t>aux marchés publics</w:t>
      </w:r>
      <w:r w:rsidRPr="00C44970">
        <w:rPr>
          <w:rFonts w:asciiTheme="majorHAnsi" w:hAnsiTheme="majorHAnsi"/>
          <w:sz w:val="24"/>
        </w:rPr>
        <w:t xml:space="preserve">. Il est passé selon une procédure adaptée, en raison de son objet, conformément à </w:t>
      </w:r>
      <w:r w:rsidRPr="007F43D5">
        <w:rPr>
          <w:rFonts w:asciiTheme="majorHAnsi" w:hAnsiTheme="majorHAnsi"/>
          <w:sz w:val="24"/>
        </w:rPr>
        <w:t>l’article 2</w:t>
      </w:r>
      <w:r w:rsidR="00507D6C" w:rsidRPr="007F43D5">
        <w:rPr>
          <w:rFonts w:asciiTheme="majorHAnsi" w:hAnsiTheme="majorHAnsi"/>
          <w:sz w:val="24"/>
        </w:rPr>
        <w:t>7</w:t>
      </w:r>
      <w:r w:rsidRPr="007F43D5">
        <w:rPr>
          <w:rFonts w:asciiTheme="majorHAnsi" w:hAnsiTheme="majorHAnsi"/>
          <w:sz w:val="24"/>
        </w:rPr>
        <w:t xml:space="preserve"> du décret</w:t>
      </w:r>
      <w:r w:rsidRPr="00C44970">
        <w:rPr>
          <w:rFonts w:asciiTheme="majorHAnsi" w:hAnsiTheme="majorHAnsi"/>
          <w:sz w:val="24"/>
        </w:rPr>
        <w:t xml:space="preserve"> susvisé.</w:t>
      </w:r>
    </w:p>
    <w:p w14:paraId="41E42185" w14:textId="50B23F18" w:rsidR="00EE5A21" w:rsidRPr="00C44970" w:rsidRDefault="00EE5A21" w:rsidP="00C12545">
      <w:pPr>
        <w:rPr>
          <w:rFonts w:asciiTheme="majorHAnsi" w:hAnsiTheme="majorHAnsi"/>
          <w:sz w:val="24"/>
        </w:rPr>
      </w:pPr>
    </w:p>
    <w:p w14:paraId="06F5A688" w14:textId="6E06AF69" w:rsidR="005741F4" w:rsidRPr="005741F4" w:rsidRDefault="006F7EEA" w:rsidP="00C12545">
      <w:pPr>
        <w:ind w:left="1134"/>
        <w:rPr>
          <w:rFonts w:asciiTheme="majorHAnsi" w:hAnsiTheme="majorHAnsi"/>
          <w:b/>
          <w:i/>
          <w:sz w:val="24"/>
        </w:rPr>
      </w:pPr>
      <w:r w:rsidRPr="005741F4">
        <w:rPr>
          <w:rFonts w:asciiTheme="majorHAnsi" w:hAnsiTheme="majorHAnsi"/>
          <w:b/>
          <w:i/>
          <w:sz w:val="24"/>
        </w:rPr>
        <w:t>1.3-</w:t>
      </w:r>
      <w:r w:rsidR="00F739B3" w:rsidRPr="005741F4">
        <w:rPr>
          <w:rFonts w:asciiTheme="majorHAnsi" w:hAnsiTheme="majorHAnsi"/>
          <w:b/>
          <w:i/>
          <w:sz w:val="24"/>
        </w:rPr>
        <w:t xml:space="preserve"> Prestations</w:t>
      </w:r>
    </w:p>
    <w:p w14:paraId="23F3CBEA" w14:textId="77777777" w:rsidR="006024F3" w:rsidRPr="00C44970" w:rsidRDefault="006024F3" w:rsidP="00C12545">
      <w:pPr>
        <w:rPr>
          <w:rFonts w:asciiTheme="majorHAnsi" w:hAnsiTheme="majorHAnsi"/>
          <w:sz w:val="24"/>
        </w:rPr>
      </w:pPr>
      <w:r w:rsidRPr="00C44970">
        <w:rPr>
          <w:rFonts w:asciiTheme="majorHAnsi" w:hAnsiTheme="majorHAnsi"/>
          <w:sz w:val="24"/>
        </w:rPr>
        <w:t xml:space="preserve">Le présent marché comporte </w:t>
      </w:r>
      <w:r>
        <w:rPr>
          <w:rFonts w:asciiTheme="majorHAnsi" w:hAnsiTheme="majorHAnsi"/>
          <w:sz w:val="24"/>
        </w:rPr>
        <w:t>trois</w:t>
      </w:r>
      <w:r w:rsidRPr="00C44970">
        <w:rPr>
          <w:rFonts w:asciiTheme="majorHAnsi" w:hAnsiTheme="majorHAnsi"/>
          <w:sz w:val="24"/>
        </w:rPr>
        <w:t xml:space="preserve"> lots : </w:t>
      </w:r>
    </w:p>
    <w:p w14:paraId="5AE28581" w14:textId="77777777" w:rsidR="006024F3" w:rsidRPr="00C44970" w:rsidRDefault="006024F3" w:rsidP="00C12545">
      <w:pPr>
        <w:rPr>
          <w:rFonts w:asciiTheme="majorHAnsi" w:hAnsiTheme="majorHAnsi"/>
          <w:sz w:val="24"/>
        </w:rPr>
      </w:pPr>
    </w:p>
    <w:tbl>
      <w:tblPr>
        <w:tblStyle w:val="Grilledutableau"/>
        <w:tblW w:w="0" w:type="auto"/>
        <w:tblInd w:w="1787" w:type="dxa"/>
        <w:tblLook w:val="04A0" w:firstRow="1" w:lastRow="0" w:firstColumn="1" w:lastColumn="0" w:noHBand="0" w:noVBand="1"/>
      </w:tblPr>
      <w:tblGrid>
        <w:gridCol w:w="2122"/>
        <w:gridCol w:w="4252"/>
      </w:tblGrid>
      <w:tr w:rsidR="006024F3" w:rsidRPr="00C44970" w14:paraId="1B932280" w14:textId="77777777" w:rsidTr="00356259">
        <w:tc>
          <w:tcPr>
            <w:tcW w:w="2122" w:type="dxa"/>
          </w:tcPr>
          <w:p w14:paraId="3F289A3A" w14:textId="77777777" w:rsidR="006024F3" w:rsidRPr="00C44970" w:rsidRDefault="006024F3" w:rsidP="00C12545">
            <w:pPr>
              <w:jc w:val="center"/>
              <w:rPr>
                <w:rFonts w:asciiTheme="majorHAnsi" w:hAnsiTheme="majorHAnsi"/>
                <w:b/>
                <w:sz w:val="24"/>
              </w:rPr>
            </w:pPr>
            <w:r w:rsidRPr="00C44970">
              <w:rPr>
                <w:rFonts w:asciiTheme="majorHAnsi" w:hAnsiTheme="majorHAnsi"/>
                <w:sz w:val="24"/>
              </w:rPr>
              <w:t>Lot n°</w:t>
            </w:r>
          </w:p>
        </w:tc>
        <w:tc>
          <w:tcPr>
            <w:tcW w:w="4252" w:type="dxa"/>
          </w:tcPr>
          <w:p w14:paraId="13B18049" w14:textId="77777777" w:rsidR="006024F3" w:rsidRPr="00C44970" w:rsidRDefault="006024F3" w:rsidP="00C12545">
            <w:pPr>
              <w:rPr>
                <w:rFonts w:asciiTheme="majorHAnsi" w:hAnsiTheme="majorHAnsi"/>
                <w:sz w:val="24"/>
              </w:rPr>
            </w:pPr>
            <w:r w:rsidRPr="00C44970">
              <w:rPr>
                <w:rFonts w:asciiTheme="majorHAnsi" w:hAnsiTheme="majorHAnsi"/>
                <w:sz w:val="24"/>
              </w:rPr>
              <w:t>Désignation</w:t>
            </w:r>
          </w:p>
        </w:tc>
      </w:tr>
      <w:tr w:rsidR="006024F3" w:rsidRPr="00C44970" w14:paraId="3162E39A" w14:textId="77777777" w:rsidTr="00356259">
        <w:tc>
          <w:tcPr>
            <w:tcW w:w="2122" w:type="dxa"/>
          </w:tcPr>
          <w:p w14:paraId="769F41E4" w14:textId="77777777" w:rsidR="006024F3" w:rsidRPr="00C44970" w:rsidRDefault="006024F3" w:rsidP="00C12545">
            <w:pPr>
              <w:jc w:val="center"/>
              <w:rPr>
                <w:rFonts w:asciiTheme="majorHAnsi" w:hAnsiTheme="majorHAnsi"/>
                <w:b/>
                <w:sz w:val="24"/>
              </w:rPr>
            </w:pPr>
            <w:r w:rsidRPr="00C44970">
              <w:rPr>
                <w:rFonts w:asciiTheme="majorHAnsi" w:hAnsiTheme="majorHAnsi"/>
                <w:b/>
                <w:sz w:val="24"/>
              </w:rPr>
              <w:t>1</w:t>
            </w:r>
          </w:p>
        </w:tc>
        <w:tc>
          <w:tcPr>
            <w:tcW w:w="4252" w:type="dxa"/>
          </w:tcPr>
          <w:p w14:paraId="56AFCD46" w14:textId="77777777" w:rsidR="006024F3" w:rsidRPr="00C44970" w:rsidRDefault="006024F3" w:rsidP="00C12545">
            <w:pPr>
              <w:rPr>
                <w:rFonts w:asciiTheme="majorHAnsi" w:hAnsiTheme="majorHAnsi"/>
                <w:b/>
                <w:sz w:val="24"/>
              </w:rPr>
            </w:pPr>
            <w:r>
              <w:rPr>
                <w:rFonts w:asciiTheme="majorHAnsi" w:hAnsiTheme="majorHAnsi"/>
                <w:b/>
                <w:sz w:val="24"/>
              </w:rPr>
              <w:t>Conception et réalisation du site</w:t>
            </w:r>
          </w:p>
        </w:tc>
      </w:tr>
      <w:tr w:rsidR="006024F3" w:rsidRPr="00C44970" w14:paraId="37990943" w14:textId="77777777" w:rsidTr="00356259">
        <w:tc>
          <w:tcPr>
            <w:tcW w:w="2122" w:type="dxa"/>
          </w:tcPr>
          <w:p w14:paraId="39C2575F" w14:textId="77777777" w:rsidR="006024F3" w:rsidRPr="00C44970" w:rsidRDefault="006024F3" w:rsidP="00C12545">
            <w:pPr>
              <w:jc w:val="center"/>
              <w:rPr>
                <w:rFonts w:asciiTheme="majorHAnsi" w:hAnsiTheme="majorHAnsi"/>
                <w:b/>
                <w:sz w:val="24"/>
              </w:rPr>
            </w:pPr>
            <w:r w:rsidRPr="00C44970">
              <w:rPr>
                <w:rFonts w:asciiTheme="majorHAnsi" w:hAnsiTheme="majorHAnsi"/>
                <w:b/>
                <w:sz w:val="24"/>
              </w:rPr>
              <w:t>2</w:t>
            </w:r>
          </w:p>
        </w:tc>
        <w:tc>
          <w:tcPr>
            <w:tcW w:w="4252" w:type="dxa"/>
          </w:tcPr>
          <w:p w14:paraId="6F9EBBD7" w14:textId="77777777" w:rsidR="006024F3" w:rsidRPr="00C44970" w:rsidRDefault="006024F3" w:rsidP="00C12545">
            <w:pPr>
              <w:rPr>
                <w:rFonts w:asciiTheme="majorHAnsi" w:hAnsiTheme="majorHAnsi"/>
                <w:b/>
                <w:sz w:val="24"/>
              </w:rPr>
            </w:pPr>
            <w:r>
              <w:rPr>
                <w:rFonts w:asciiTheme="majorHAnsi" w:hAnsiTheme="majorHAnsi"/>
                <w:b/>
                <w:sz w:val="24"/>
              </w:rPr>
              <w:t>Hébergement</w:t>
            </w:r>
          </w:p>
        </w:tc>
      </w:tr>
      <w:tr w:rsidR="006024F3" w:rsidRPr="00C44970" w14:paraId="5F00EA9D" w14:textId="77777777" w:rsidTr="00356259">
        <w:tc>
          <w:tcPr>
            <w:tcW w:w="2122" w:type="dxa"/>
          </w:tcPr>
          <w:p w14:paraId="05052762" w14:textId="77777777" w:rsidR="006024F3" w:rsidRPr="00C44970" w:rsidRDefault="006024F3" w:rsidP="00C12545">
            <w:pPr>
              <w:jc w:val="center"/>
              <w:rPr>
                <w:rFonts w:asciiTheme="majorHAnsi" w:hAnsiTheme="majorHAnsi"/>
                <w:b/>
                <w:sz w:val="24"/>
              </w:rPr>
            </w:pPr>
            <w:r>
              <w:rPr>
                <w:rFonts w:asciiTheme="majorHAnsi" w:hAnsiTheme="majorHAnsi"/>
                <w:b/>
                <w:sz w:val="24"/>
              </w:rPr>
              <w:t>3</w:t>
            </w:r>
          </w:p>
        </w:tc>
        <w:tc>
          <w:tcPr>
            <w:tcW w:w="4252" w:type="dxa"/>
          </w:tcPr>
          <w:p w14:paraId="31C49E7D" w14:textId="77777777" w:rsidR="006024F3" w:rsidRPr="00C44970" w:rsidRDefault="006024F3" w:rsidP="00C12545">
            <w:pPr>
              <w:rPr>
                <w:rFonts w:asciiTheme="majorHAnsi" w:hAnsiTheme="majorHAnsi"/>
                <w:b/>
                <w:sz w:val="24"/>
              </w:rPr>
            </w:pPr>
            <w:r w:rsidRPr="00C44970">
              <w:rPr>
                <w:rFonts w:asciiTheme="majorHAnsi" w:hAnsiTheme="majorHAnsi"/>
                <w:b/>
                <w:sz w:val="24"/>
              </w:rPr>
              <w:t>Maintenance du site web</w:t>
            </w:r>
          </w:p>
        </w:tc>
      </w:tr>
    </w:tbl>
    <w:p w14:paraId="4108C78C" w14:textId="77777777" w:rsidR="006024F3" w:rsidRPr="006024F3" w:rsidRDefault="006024F3" w:rsidP="00C12545">
      <w:pPr>
        <w:rPr>
          <w:rFonts w:asciiTheme="majorHAnsi" w:hAnsiTheme="majorHAnsi"/>
          <w:sz w:val="24"/>
        </w:rPr>
      </w:pPr>
    </w:p>
    <w:p w14:paraId="663C827E" w14:textId="135680C4" w:rsidR="006024F3" w:rsidRPr="00356259" w:rsidRDefault="00356259" w:rsidP="00C12545">
      <w:pPr>
        <w:rPr>
          <w:rFonts w:asciiTheme="majorHAnsi" w:hAnsiTheme="majorHAnsi"/>
          <w:b/>
          <w:sz w:val="24"/>
        </w:rPr>
      </w:pPr>
      <w:r w:rsidRPr="00356259">
        <w:rPr>
          <w:rFonts w:asciiTheme="majorHAnsi" w:hAnsiTheme="majorHAnsi"/>
          <w:b/>
          <w:sz w:val="24"/>
        </w:rPr>
        <w:t>L</w:t>
      </w:r>
      <w:r>
        <w:rPr>
          <w:rFonts w:asciiTheme="majorHAnsi" w:hAnsiTheme="majorHAnsi"/>
          <w:b/>
          <w:sz w:val="24"/>
        </w:rPr>
        <w:t>OT</w:t>
      </w:r>
      <w:r w:rsidRPr="00356259">
        <w:rPr>
          <w:rFonts w:asciiTheme="majorHAnsi" w:hAnsiTheme="majorHAnsi"/>
          <w:b/>
          <w:sz w:val="24"/>
        </w:rPr>
        <w:t xml:space="preserve"> 1</w:t>
      </w:r>
    </w:p>
    <w:p w14:paraId="195A63A0" w14:textId="4BC88253" w:rsidR="00F739B3" w:rsidRPr="005741F4" w:rsidRDefault="005741F4" w:rsidP="00C12545">
      <w:pPr>
        <w:rPr>
          <w:rFonts w:asciiTheme="majorHAnsi" w:hAnsiTheme="majorHAnsi"/>
          <w:b/>
          <w:i/>
          <w:sz w:val="24"/>
        </w:rPr>
      </w:pPr>
      <w:r w:rsidRPr="005741F4">
        <w:rPr>
          <w:rFonts w:asciiTheme="majorHAnsi" w:hAnsiTheme="majorHAnsi"/>
          <w:b/>
          <w:i/>
          <w:sz w:val="24"/>
        </w:rPr>
        <w:t xml:space="preserve">a) </w:t>
      </w:r>
      <w:r w:rsidR="00F739B3" w:rsidRPr="005741F4">
        <w:rPr>
          <w:b/>
          <w:i/>
          <w:sz w:val="24"/>
        </w:rPr>
        <w:t>Présentation de l’IAE de Paris : l’excellence universitaire au service du management</w:t>
      </w:r>
    </w:p>
    <w:p w14:paraId="3BACBC5B" w14:textId="77777777" w:rsidR="00F739B3" w:rsidRPr="00D8749A" w:rsidRDefault="00F739B3" w:rsidP="00C12545">
      <w:pPr>
        <w:rPr>
          <w:sz w:val="24"/>
        </w:rPr>
      </w:pPr>
      <w:r w:rsidRPr="00D8749A">
        <w:rPr>
          <w:sz w:val="24"/>
        </w:rPr>
        <w:t xml:space="preserve">L’IAE Paris - Sorbonne Business School est un établissement public d’enseignement supérieur associé à l’université Paris 1 Panthéon Sorbonne. </w:t>
      </w:r>
    </w:p>
    <w:p w14:paraId="6CC2B09E" w14:textId="29691911" w:rsidR="00F739B3" w:rsidRPr="00D8749A" w:rsidRDefault="00F739B3" w:rsidP="00C12545">
      <w:pPr>
        <w:rPr>
          <w:sz w:val="24"/>
        </w:rPr>
      </w:pPr>
      <w:r w:rsidRPr="00D8749A">
        <w:rPr>
          <w:sz w:val="24"/>
        </w:rPr>
        <w:t xml:space="preserve">Depuis sa création en 1956, l’IAE Paris s’est spécialisé dans la </w:t>
      </w:r>
      <w:r w:rsidRPr="00D8749A">
        <w:rPr>
          <w:b/>
          <w:sz w:val="24"/>
        </w:rPr>
        <w:t xml:space="preserve">double compétence en management </w:t>
      </w:r>
      <w:r w:rsidRPr="00D8749A">
        <w:rPr>
          <w:sz w:val="24"/>
        </w:rPr>
        <w:t xml:space="preserve">pour les salariés et les étudiants en poursuite d’études. C'est aujourd'hui </w:t>
      </w:r>
      <w:r w:rsidRPr="00D8749A">
        <w:rPr>
          <w:b/>
          <w:sz w:val="24"/>
        </w:rPr>
        <w:t xml:space="preserve">plus de 30 000 Alumni </w:t>
      </w:r>
      <w:r w:rsidRPr="00D8749A">
        <w:rPr>
          <w:sz w:val="24"/>
        </w:rPr>
        <w:t xml:space="preserve">qui exercent dans les plus grandes entreprises et organisations à travers le monde. </w:t>
      </w:r>
      <w:r w:rsidRPr="00D8749A">
        <w:rPr>
          <w:b/>
          <w:sz w:val="24"/>
        </w:rPr>
        <w:t xml:space="preserve">L’IAE Paris forme chaque année environ 2700 étudiants </w:t>
      </w:r>
      <w:r w:rsidRPr="00D8749A">
        <w:rPr>
          <w:sz w:val="24"/>
        </w:rPr>
        <w:t>en formation initiale, en apprentissage, en formation continue, en France et à l’international.</w:t>
      </w:r>
    </w:p>
    <w:p w14:paraId="03FE9B22" w14:textId="77777777" w:rsidR="00F739B3" w:rsidRPr="00D8749A" w:rsidRDefault="00F739B3" w:rsidP="00C12545">
      <w:pPr>
        <w:rPr>
          <w:sz w:val="24"/>
        </w:rPr>
      </w:pPr>
      <w:r w:rsidRPr="00D8749A">
        <w:rPr>
          <w:b/>
          <w:sz w:val="24"/>
        </w:rPr>
        <w:t>La formation continue constitue près de 80% de l’activité</w:t>
      </w:r>
      <w:r w:rsidRPr="00D8749A">
        <w:rPr>
          <w:sz w:val="24"/>
        </w:rPr>
        <w:t xml:space="preserve"> : environ 2 000 cadres sont formés chaque année, dont 750 à l’international dans le cadre de partenariats avec des </w:t>
      </w:r>
      <w:r w:rsidRPr="00D8749A">
        <w:rPr>
          <w:sz w:val="24"/>
        </w:rPr>
        <w:lastRenderedPageBreak/>
        <w:t xml:space="preserve">universités locales. Par ailleurs, l’IAE Paris a fait le choix de </w:t>
      </w:r>
      <w:r w:rsidRPr="00D8749A">
        <w:rPr>
          <w:b/>
          <w:sz w:val="24"/>
        </w:rPr>
        <w:t>favoriser l’alternance dans ses programmes de poursuite d’études</w:t>
      </w:r>
      <w:r w:rsidRPr="00D8749A">
        <w:rPr>
          <w:sz w:val="24"/>
        </w:rPr>
        <w:t xml:space="preserve">. </w:t>
      </w:r>
    </w:p>
    <w:p w14:paraId="53F11623" w14:textId="77777777" w:rsidR="00F739B3" w:rsidRPr="00D8749A" w:rsidRDefault="00F739B3" w:rsidP="00C12545">
      <w:pPr>
        <w:rPr>
          <w:sz w:val="24"/>
        </w:rPr>
      </w:pPr>
      <w:r w:rsidRPr="00D8749A">
        <w:rPr>
          <w:sz w:val="24"/>
        </w:rPr>
        <w:t>Près de 40 programmes de formation diplômants, généralistes ou spécialisés, sont ainsi proposés (Doctorats, Masters spécialisés, MBA(s), Licence professionnelle, Diplôme d'université) dans les grands domaines du management. Des programmes courts adaptés aux besoins des entreprises sont également mis en place.</w:t>
      </w:r>
    </w:p>
    <w:p w14:paraId="70B8CCA7" w14:textId="77777777" w:rsidR="00F739B3" w:rsidRDefault="00F739B3" w:rsidP="00C12545">
      <w:pPr>
        <w:rPr>
          <w:sz w:val="24"/>
          <w:u w:val="single"/>
        </w:rPr>
      </w:pPr>
      <w:r w:rsidRPr="00D8749A">
        <w:rPr>
          <w:sz w:val="24"/>
        </w:rPr>
        <w:t>Les formations sont fondées sur une</w:t>
      </w:r>
      <w:r w:rsidRPr="00D8749A">
        <w:rPr>
          <w:b/>
          <w:bCs/>
          <w:sz w:val="24"/>
        </w:rPr>
        <w:t xml:space="preserve"> approche pédagogique à la pointe des enjeux du monde professionnel</w:t>
      </w:r>
      <w:r w:rsidRPr="00D8749A">
        <w:rPr>
          <w:sz w:val="24"/>
        </w:rPr>
        <w:t xml:space="preserve">, nourrie par une </w:t>
      </w:r>
      <w:r w:rsidRPr="00D8749A">
        <w:rPr>
          <w:b/>
          <w:bCs/>
          <w:sz w:val="24"/>
        </w:rPr>
        <w:t xml:space="preserve">activité de recherche très active </w:t>
      </w:r>
      <w:r w:rsidRPr="00D8749A">
        <w:rPr>
          <w:sz w:val="24"/>
        </w:rPr>
        <w:t xml:space="preserve">au sein de l’institut et ancrée sur la </w:t>
      </w:r>
      <w:r w:rsidRPr="00D8749A">
        <w:rPr>
          <w:b/>
          <w:bCs/>
          <w:sz w:val="24"/>
        </w:rPr>
        <w:t>pratique en entreprise</w:t>
      </w:r>
      <w:r w:rsidRPr="00D8749A">
        <w:rPr>
          <w:sz w:val="24"/>
        </w:rPr>
        <w:t xml:space="preserve">.  La </w:t>
      </w:r>
      <w:r w:rsidRPr="00D8749A">
        <w:rPr>
          <w:b/>
          <w:sz w:val="24"/>
        </w:rPr>
        <w:t>combinaison d’expertises académiques et professionnelles participe ainsi au développement de programmes de haut niveau</w:t>
      </w:r>
      <w:r w:rsidRPr="00D8749A">
        <w:rPr>
          <w:sz w:val="24"/>
        </w:rPr>
        <w:t>, associant enseignants-chercheurs et praticiens issus de nombreuses entreprises, institutions et organisations.</w:t>
      </w:r>
    </w:p>
    <w:p w14:paraId="7C900366" w14:textId="77777777" w:rsidR="00F739B3" w:rsidRPr="00D8749A" w:rsidRDefault="00F739B3" w:rsidP="00C12545">
      <w:pPr>
        <w:rPr>
          <w:i/>
          <w:sz w:val="24"/>
        </w:rPr>
      </w:pPr>
    </w:p>
    <w:p w14:paraId="3BDF4D13" w14:textId="77777777" w:rsidR="00F739B3" w:rsidRPr="00D8749A" w:rsidRDefault="00F739B3" w:rsidP="00C12545">
      <w:pPr>
        <w:rPr>
          <w:i/>
          <w:sz w:val="24"/>
        </w:rPr>
      </w:pPr>
      <w:r w:rsidRPr="00D8749A">
        <w:rPr>
          <w:i/>
          <w:sz w:val="24"/>
        </w:rPr>
        <w:t>Chiffres-clés</w:t>
      </w:r>
      <w:r w:rsidRPr="00D8749A">
        <w:rPr>
          <w:sz w:val="24"/>
          <w:u w:val="single"/>
        </w:rPr>
        <w:br/>
      </w:r>
      <w:r w:rsidRPr="00D8749A">
        <w:rPr>
          <w:i/>
          <w:sz w:val="24"/>
        </w:rPr>
        <w:t>- 30 000 Alumni qui exercent à travers le monde- 2700 étudiants (80% en formation continue dont 750 à l’international)</w:t>
      </w:r>
    </w:p>
    <w:p w14:paraId="009CB6D6" w14:textId="77777777" w:rsidR="00F739B3" w:rsidRPr="00D8749A" w:rsidRDefault="00F739B3" w:rsidP="00C12545">
      <w:pPr>
        <w:rPr>
          <w:i/>
          <w:sz w:val="24"/>
        </w:rPr>
      </w:pPr>
      <w:r w:rsidRPr="00D8749A">
        <w:rPr>
          <w:i/>
          <w:sz w:val="24"/>
        </w:rPr>
        <w:t>- 42 enseignants permanents</w:t>
      </w:r>
    </w:p>
    <w:p w14:paraId="171ED68F" w14:textId="77777777" w:rsidR="00F739B3" w:rsidRPr="00D8749A" w:rsidRDefault="00F739B3" w:rsidP="00C12545">
      <w:pPr>
        <w:rPr>
          <w:i/>
          <w:sz w:val="24"/>
        </w:rPr>
      </w:pPr>
      <w:r w:rsidRPr="00D8749A">
        <w:rPr>
          <w:i/>
          <w:sz w:val="24"/>
        </w:rPr>
        <w:t>- 350 intervenants professionnels</w:t>
      </w:r>
    </w:p>
    <w:p w14:paraId="1519E2E0" w14:textId="77777777" w:rsidR="00F739B3" w:rsidRPr="00D8749A" w:rsidRDefault="00F739B3" w:rsidP="00C12545">
      <w:pPr>
        <w:rPr>
          <w:i/>
          <w:sz w:val="24"/>
        </w:rPr>
      </w:pPr>
      <w:r w:rsidRPr="00D8749A">
        <w:rPr>
          <w:i/>
          <w:sz w:val="24"/>
        </w:rPr>
        <w:t>- 60 accords internationaux</w:t>
      </w:r>
    </w:p>
    <w:p w14:paraId="1D216FD3" w14:textId="77777777" w:rsidR="00F739B3" w:rsidRPr="00D8749A" w:rsidRDefault="00F739B3" w:rsidP="00C12545">
      <w:pPr>
        <w:rPr>
          <w:i/>
          <w:sz w:val="24"/>
        </w:rPr>
      </w:pPr>
      <w:r w:rsidRPr="00D8749A">
        <w:rPr>
          <w:i/>
          <w:sz w:val="24"/>
        </w:rPr>
        <w:t>- 11 programmes à l’étranger (Algérie - Île Maurice – Maroc – Sénégal – Tunisie – Chine – Liban – Vietnam – Etats-Unis – Brésil)</w:t>
      </w:r>
    </w:p>
    <w:p w14:paraId="26CBB594" w14:textId="77777777" w:rsidR="00F739B3" w:rsidRPr="00D8749A" w:rsidRDefault="00F739B3" w:rsidP="00C12545">
      <w:pPr>
        <w:rPr>
          <w:i/>
          <w:sz w:val="24"/>
        </w:rPr>
      </w:pPr>
      <w:r w:rsidRPr="00D8749A">
        <w:rPr>
          <w:i/>
          <w:sz w:val="24"/>
        </w:rPr>
        <w:t>- 1 laboratoire de recherche, le GREGOR</w:t>
      </w:r>
    </w:p>
    <w:p w14:paraId="7001A845" w14:textId="77777777" w:rsidR="00F739B3" w:rsidRPr="00D8749A" w:rsidRDefault="00F739B3" w:rsidP="00C12545">
      <w:pPr>
        <w:rPr>
          <w:i/>
          <w:sz w:val="24"/>
        </w:rPr>
      </w:pPr>
      <w:r w:rsidRPr="00D8749A">
        <w:rPr>
          <w:i/>
          <w:sz w:val="24"/>
        </w:rPr>
        <w:t>- 6 chaires de recherche : Marque et valeurs / Economie des partenariats public - privé / Financements alternatifs au secteur agricole / Mutations - Anticipations - Innovations / Management et à la Gouvernance des Coopératives Financières / Entreprenariat Territoire Innovation /</w:t>
      </w:r>
    </w:p>
    <w:p w14:paraId="0AA15BCA" w14:textId="77777777" w:rsidR="00F739B3" w:rsidRPr="00D8749A" w:rsidRDefault="00F739B3" w:rsidP="00C12545">
      <w:pPr>
        <w:rPr>
          <w:i/>
          <w:sz w:val="24"/>
        </w:rPr>
      </w:pPr>
    </w:p>
    <w:p w14:paraId="6B4B01DD" w14:textId="55C9C607" w:rsidR="00F739B3" w:rsidRPr="005741F4" w:rsidRDefault="005741F4" w:rsidP="00C12545">
      <w:pPr>
        <w:rPr>
          <w:b/>
          <w:i/>
          <w:sz w:val="24"/>
        </w:rPr>
      </w:pPr>
      <w:r w:rsidRPr="005741F4">
        <w:rPr>
          <w:b/>
          <w:i/>
          <w:sz w:val="24"/>
        </w:rPr>
        <w:t xml:space="preserve">b) </w:t>
      </w:r>
      <w:r w:rsidR="00F739B3" w:rsidRPr="005741F4">
        <w:rPr>
          <w:b/>
          <w:i/>
          <w:sz w:val="24"/>
        </w:rPr>
        <w:t>Cadrage du projet</w:t>
      </w:r>
    </w:p>
    <w:p w14:paraId="37935EF1" w14:textId="77777777" w:rsidR="00F739B3" w:rsidRPr="00D8749A" w:rsidRDefault="00F739B3" w:rsidP="00C12545">
      <w:pPr>
        <w:rPr>
          <w:b/>
          <w:i/>
          <w:sz w:val="24"/>
        </w:rPr>
      </w:pPr>
      <w:r w:rsidRPr="00D8749A">
        <w:rPr>
          <w:b/>
          <w:i/>
          <w:sz w:val="24"/>
        </w:rPr>
        <w:t>Iae-paris.com actuellement : un site vieillissant</w:t>
      </w:r>
    </w:p>
    <w:p w14:paraId="2BAE0D82" w14:textId="77777777" w:rsidR="00F739B3" w:rsidRPr="00D8749A" w:rsidRDefault="00F739B3" w:rsidP="00C12545">
      <w:pPr>
        <w:rPr>
          <w:sz w:val="24"/>
        </w:rPr>
      </w:pPr>
      <w:r w:rsidRPr="00D8749A">
        <w:rPr>
          <w:sz w:val="24"/>
        </w:rPr>
        <w:t xml:space="preserve">La dernière refonte du site web institutionnel de l’IAE Paris date de 2011. </w:t>
      </w:r>
      <w:r w:rsidRPr="00D8749A">
        <w:rPr>
          <w:sz w:val="24"/>
        </w:rPr>
        <w:br/>
        <w:t>Son design, son ergonomie, les fonctionnalités proposées sont aujourd’hui obsolètes. Il ne correspond plus aux usages web actuels, n’étant pas Responsive Design et ne favorisant pas l’attractivité des contenus. Le site est rigide, doté d’une faible marge de manœuvre en raison d’un back office daté, ce qui rend complexe la gestion au quotidien. Au niveau du front office, il manque d’ergonomie et n’est pas orienté utilisateurs. L’actuel iae-paris.com et sa déclinaison en langue anglaise s’appuient sur</w:t>
      </w:r>
      <w:r w:rsidRPr="00D8749A">
        <w:rPr>
          <w:color w:val="44546A"/>
          <w:sz w:val="24"/>
        </w:rPr>
        <w:t xml:space="preserve"> </w:t>
      </w:r>
      <w:r w:rsidRPr="00D8749A">
        <w:rPr>
          <w:sz w:val="24"/>
        </w:rPr>
        <w:t>Drupal 6 et sont hébergés par l’agence web qui en a assuré la conception en 2011.</w:t>
      </w:r>
    </w:p>
    <w:p w14:paraId="4F48F26B" w14:textId="0037FE27" w:rsidR="00F739B3" w:rsidRPr="00D8749A" w:rsidRDefault="00F739B3" w:rsidP="00C12545">
      <w:pPr>
        <w:rPr>
          <w:i/>
          <w:sz w:val="24"/>
        </w:rPr>
      </w:pPr>
      <w:r w:rsidRPr="00D8749A">
        <w:rPr>
          <w:i/>
          <w:sz w:val="24"/>
        </w:rPr>
        <w:t>iae-paris.com en chiffres (base 2017)</w:t>
      </w:r>
    </w:p>
    <w:p w14:paraId="3C88C392" w14:textId="77777777" w:rsidR="00F739B3" w:rsidRPr="00D8749A" w:rsidRDefault="00F739B3" w:rsidP="00C12545">
      <w:pPr>
        <w:rPr>
          <w:i/>
          <w:sz w:val="24"/>
        </w:rPr>
      </w:pPr>
      <w:r w:rsidRPr="00D8749A">
        <w:rPr>
          <w:i/>
          <w:sz w:val="24"/>
        </w:rPr>
        <w:t>- près de 390 000 visiteurs annuels</w:t>
      </w:r>
    </w:p>
    <w:p w14:paraId="65C38391" w14:textId="77777777" w:rsidR="00F739B3" w:rsidRPr="00D8749A" w:rsidRDefault="00F739B3" w:rsidP="00C12545">
      <w:pPr>
        <w:rPr>
          <w:i/>
          <w:sz w:val="24"/>
        </w:rPr>
      </w:pPr>
      <w:r w:rsidRPr="00D8749A">
        <w:rPr>
          <w:i/>
          <w:sz w:val="24"/>
        </w:rPr>
        <w:t>- plus de 1 665 000 pages vues</w:t>
      </w:r>
    </w:p>
    <w:p w14:paraId="189B2F1D" w14:textId="77777777" w:rsidR="00F739B3" w:rsidRPr="00D8749A" w:rsidRDefault="00F739B3" w:rsidP="00C12545">
      <w:pPr>
        <w:rPr>
          <w:i/>
          <w:sz w:val="24"/>
        </w:rPr>
      </w:pPr>
      <w:r w:rsidRPr="00D8749A">
        <w:rPr>
          <w:i/>
          <w:sz w:val="24"/>
        </w:rPr>
        <w:t>- environ 450 pages actives (1 000 pages en tout)</w:t>
      </w:r>
    </w:p>
    <w:p w14:paraId="146B326C" w14:textId="77777777" w:rsidR="00F739B3" w:rsidRPr="00D8749A" w:rsidRDefault="00F739B3" w:rsidP="00C12545">
      <w:pPr>
        <w:rPr>
          <w:i/>
          <w:sz w:val="24"/>
        </w:rPr>
      </w:pPr>
      <w:r w:rsidRPr="00D8749A">
        <w:rPr>
          <w:i/>
          <w:sz w:val="24"/>
        </w:rPr>
        <w:t>- 65% de la fréquentation est générée par la rubrique Formation, 17% par la page d’accueil</w:t>
      </w:r>
    </w:p>
    <w:p w14:paraId="6F7A0644" w14:textId="77777777" w:rsidR="00F739B3" w:rsidRPr="00D8749A" w:rsidRDefault="00F739B3" w:rsidP="00C12545">
      <w:pPr>
        <w:rPr>
          <w:i/>
          <w:sz w:val="24"/>
        </w:rPr>
      </w:pPr>
      <w:r w:rsidRPr="00D8749A">
        <w:rPr>
          <w:i/>
          <w:sz w:val="24"/>
        </w:rPr>
        <w:t xml:space="preserve">- des carrefours d’audience : page d’accueil, pages formation </w:t>
      </w:r>
    </w:p>
    <w:p w14:paraId="374F3EE9" w14:textId="77777777" w:rsidR="00F739B3" w:rsidRPr="00D8749A" w:rsidRDefault="00F739B3" w:rsidP="00C12545">
      <w:pPr>
        <w:rPr>
          <w:i/>
          <w:sz w:val="24"/>
        </w:rPr>
      </w:pPr>
      <w:r w:rsidRPr="00D8749A">
        <w:rPr>
          <w:i/>
          <w:sz w:val="24"/>
        </w:rPr>
        <w:t>- 75% de la navigation sur desktop ; seulement 25% par mobile ou tablette</w:t>
      </w:r>
    </w:p>
    <w:p w14:paraId="762D532C" w14:textId="77777777" w:rsidR="00F739B3" w:rsidRPr="00D8749A" w:rsidRDefault="00F739B3" w:rsidP="00C12545">
      <w:pPr>
        <w:rPr>
          <w:i/>
          <w:sz w:val="24"/>
        </w:rPr>
      </w:pPr>
    </w:p>
    <w:p w14:paraId="43DCB9B8" w14:textId="20F684F6" w:rsidR="00F739B3" w:rsidRPr="00A721C5" w:rsidRDefault="00F739B3" w:rsidP="00C12545">
      <w:pPr>
        <w:rPr>
          <w:b/>
          <w:sz w:val="24"/>
        </w:rPr>
      </w:pPr>
      <w:r w:rsidRPr="00A721C5">
        <w:rPr>
          <w:b/>
          <w:sz w:val="24"/>
        </w:rPr>
        <w:t>Un état des lieux de l’actuel « iae-paris.com »</w:t>
      </w:r>
      <w:r w:rsidR="006024F3" w:rsidRPr="00A721C5">
        <w:rPr>
          <w:b/>
          <w:sz w:val="24"/>
        </w:rPr>
        <w:t xml:space="preserve"> </w:t>
      </w:r>
      <w:r w:rsidRPr="00A721C5">
        <w:rPr>
          <w:b/>
          <w:sz w:val="24"/>
        </w:rPr>
        <w:t xml:space="preserve">est annexé au </w:t>
      </w:r>
      <w:r w:rsidR="006024F3" w:rsidRPr="00A721C5">
        <w:rPr>
          <w:b/>
          <w:sz w:val="24"/>
        </w:rPr>
        <w:t xml:space="preserve">présent </w:t>
      </w:r>
      <w:r w:rsidR="0091509A" w:rsidRPr="00A721C5">
        <w:rPr>
          <w:b/>
          <w:sz w:val="24"/>
        </w:rPr>
        <w:t>cahier des charges</w:t>
      </w:r>
      <w:r w:rsidRPr="00A721C5">
        <w:rPr>
          <w:b/>
          <w:sz w:val="24"/>
        </w:rPr>
        <w:t>.</w:t>
      </w:r>
    </w:p>
    <w:p w14:paraId="05CD8FB4" w14:textId="4A524C5E" w:rsidR="00F739B3" w:rsidRDefault="00F739B3" w:rsidP="00C12545">
      <w:pPr>
        <w:rPr>
          <w:sz w:val="24"/>
        </w:rPr>
      </w:pPr>
    </w:p>
    <w:p w14:paraId="52489521" w14:textId="78615361" w:rsidR="00C12545" w:rsidRDefault="00C12545" w:rsidP="00C12545">
      <w:pPr>
        <w:rPr>
          <w:sz w:val="24"/>
        </w:rPr>
      </w:pPr>
    </w:p>
    <w:p w14:paraId="48C8B217" w14:textId="77777777" w:rsidR="00C12545" w:rsidRPr="00D8749A" w:rsidRDefault="00C12545" w:rsidP="00C12545">
      <w:pPr>
        <w:rPr>
          <w:sz w:val="24"/>
        </w:rPr>
      </w:pPr>
    </w:p>
    <w:p w14:paraId="5F346C84" w14:textId="77777777" w:rsidR="00F739B3" w:rsidRPr="00D8749A" w:rsidRDefault="00F739B3" w:rsidP="00C12545">
      <w:pPr>
        <w:rPr>
          <w:b/>
          <w:i/>
          <w:sz w:val="24"/>
        </w:rPr>
      </w:pPr>
      <w:r w:rsidRPr="00D8749A">
        <w:rPr>
          <w:b/>
          <w:i/>
          <w:sz w:val="24"/>
        </w:rPr>
        <w:lastRenderedPageBreak/>
        <w:t>Une nouvelle identité pour l’IAE Paris</w:t>
      </w:r>
    </w:p>
    <w:p w14:paraId="7933EB5A" w14:textId="77777777" w:rsidR="00F739B3" w:rsidRPr="00D8749A" w:rsidRDefault="00F739B3" w:rsidP="00C12545">
      <w:pPr>
        <w:rPr>
          <w:sz w:val="24"/>
        </w:rPr>
      </w:pPr>
      <w:r w:rsidRPr="00D8749A">
        <w:rPr>
          <w:sz w:val="24"/>
        </w:rPr>
        <w:t>En 2017, pour les 60 ans de l’établissement, une nouvelle identité visuelle a été créée, débouchant sur la mise en place d’une charte graphique. En 2018, l’IAE Paris va plus loin en mettant en place un nouveau territoire graphique sur lequel le prestataire web devra s’appuyer en matière de web design.</w:t>
      </w:r>
    </w:p>
    <w:p w14:paraId="57D8CF02" w14:textId="77777777" w:rsidR="00F739B3" w:rsidRPr="00D8749A" w:rsidRDefault="00F739B3" w:rsidP="00C12545">
      <w:pPr>
        <w:rPr>
          <w:sz w:val="24"/>
        </w:rPr>
      </w:pPr>
      <w:r w:rsidRPr="00D8749A">
        <w:rPr>
          <w:sz w:val="24"/>
        </w:rPr>
        <w:br/>
      </w:r>
      <w:r w:rsidRPr="00D8749A">
        <w:rPr>
          <w:b/>
          <w:i/>
          <w:sz w:val="24"/>
        </w:rPr>
        <w:t>Objectifs</w:t>
      </w:r>
      <w:r w:rsidRPr="00D8749A">
        <w:rPr>
          <w:sz w:val="24"/>
        </w:rPr>
        <w:br/>
        <w:t>&gt; Valoriser l’image, l’attractivité et la notoriété de l'IAE Paris</w:t>
      </w:r>
    </w:p>
    <w:p w14:paraId="338A6E8C" w14:textId="77777777" w:rsidR="00F739B3" w:rsidRPr="00D8749A" w:rsidRDefault="00F739B3" w:rsidP="00C12545">
      <w:pPr>
        <w:rPr>
          <w:sz w:val="24"/>
        </w:rPr>
      </w:pPr>
      <w:r w:rsidRPr="00D8749A">
        <w:rPr>
          <w:sz w:val="24"/>
        </w:rPr>
        <w:t>&gt; Promouvoir l’IAE Paris comme un établissement de référence en matière de formation et de recherche dans les domaines des sciences de gestion et du management en France et à l’international</w:t>
      </w:r>
    </w:p>
    <w:p w14:paraId="60BFBD22" w14:textId="77777777" w:rsidR="00F739B3" w:rsidRPr="00D8749A" w:rsidRDefault="00F739B3" w:rsidP="00C12545">
      <w:pPr>
        <w:rPr>
          <w:sz w:val="24"/>
        </w:rPr>
      </w:pPr>
      <w:r w:rsidRPr="00D8749A">
        <w:rPr>
          <w:sz w:val="24"/>
        </w:rPr>
        <w:t>&gt;</w:t>
      </w:r>
      <w:r w:rsidRPr="00D8749A">
        <w:rPr>
          <w:b/>
          <w:bCs/>
          <w:sz w:val="24"/>
        </w:rPr>
        <w:t xml:space="preserve"> </w:t>
      </w:r>
      <w:r w:rsidRPr="00D8749A">
        <w:rPr>
          <w:sz w:val="24"/>
        </w:rPr>
        <w:t>Favoriser le recrutement de candidats dans les différentes formations (en particulier en formation continue auprès des cadres en activité à titre individuel et auprès des entreprises dans le cadre de leur plan de formation)</w:t>
      </w:r>
    </w:p>
    <w:p w14:paraId="1C988C65" w14:textId="77777777" w:rsidR="00A721C5" w:rsidRDefault="00A721C5" w:rsidP="00C12545">
      <w:pPr>
        <w:rPr>
          <w:b/>
          <w:i/>
          <w:sz w:val="24"/>
        </w:rPr>
      </w:pPr>
    </w:p>
    <w:p w14:paraId="36C7BE1C" w14:textId="63DFD26D" w:rsidR="00F739B3" w:rsidRPr="00D8749A" w:rsidRDefault="00F739B3" w:rsidP="00C12545">
      <w:pPr>
        <w:rPr>
          <w:i/>
          <w:sz w:val="24"/>
        </w:rPr>
      </w:pPr>
      <w:r w:rsidRPr="00D8749A">
        <w:rPr>
          <w:b/>
          <w:i/>
          <w:sz w:val="24"/>
        </w:rPr>
        <w:t>Cibles principales</w:t>
      </w:r>
    </w:p>
    <w:p w14:paraId="27D4FC35" w14:textId="77777777" w:rsidR="00F739B3" w:rsidRPr="00D8749A" w:rsidRDefault="00F739B3" w:rsidP="00C12545">
      <w:pPr>
        <w:rPr>
          <w:sz w:val="24"/>
        </w:rPr>
      </w:pPr>
      <w:r w:rsidRPr="00D8749A">
        <w:rPr>
          <w:sz w:val="24"/>
        </w:rPr>
        <w:t>&gt; Candidats/futurs étudiants (cadres en activité, étudiants en poursuite d’études, étudiants internationaux)</w:t>
      </w:r>
    </w:p>
    <w:p w14:paraId="30DC5466" w14:textId="77777777" w:rsidR="00F739B3" w:rsidRPr="00D8749A" w:rsidRDefault="00F739B3" w:rsidP="00C12545">
      <w:pPr>
        <w:rPr>
          <w:sz w:val="24"/>
        </w:rPr>
      </w:pPr>
      <w:r w:rsidRPr="00D8749A">
        <w:rPr>
          <w:sz w:val="24"/>
        </w:rPr>
        <w:t xml:space="preserve">&gt; Entreprises </w:t>
      </w:r>
    </w:p>
    <w:p w14:paraId="0F9E8A0D" w14:textId="77777777" w:rsidR="00F739B3" w:rsidRPr="00D8749A" w:rsidRDefault="00F739B3" w:rsidP="00C12545">
      <w:pPr>
        <w:rPr>
          <w:sz w:val="24"/>
        </w:rPr>
      </w:pPr>
      <w:r w:rsidRPr="00D8749A">
        <w:rPr>
          <w:sz w:val="24"/>
        </w:rPr>
        <w:t>&gt; Étudiants</w:t>
      </w:r>
    </w:p>
    <w:p w14:paraId="5022C2A7" w14:textId="77777777" w:rsidR="00F739B3" w:rsidRPr="00D8749A" w:rsidRDefault="00F739B3" w:rsidP="00C12545">
      <w:pPr>
        <w:rPr>
          <w:sz w:val="24"/>
        </w:rPr>
      </w:pPr>
      <w:r w:rsidRPr="00D8749A">
        <w:rPr>
          <w:sz w:val="24"/>
        </w:rPr>
        <w:t>&gt; Diplômés</w:t>
      </w:r>
    </w:p>
    <w:p w14:paraId="609267C5" w14:textId="77777777" w:rsidR="00F739B3" w:rsidRPr="00D8749A" w:rsidRDefault="00F739B3" w:rsidP="00C12545">
      <w:pPr>
        <w:ind w:firstLine="1134"/>
        <w:rPr>
          <w:b/>
          <w:sz w:val="24"/>
          <w:u w:val="single"/>
        </w:rPr>
      </w:pPr>
    </w:p>
    <w:p w14:paraId="6BA3C801" w14:textId="4962BEC6" w:rsidR="00F739B3" w:rsidRPr="006024F3" w:rsidRDefault="005741F4" w:rsidP="00C12545">
      <w:pPr>
        <w:rPr>
          <w:b/>
          <w:sz w:val="24"/>
        </w:rPr>
      </w:pPr>
      <w:r w:rsidRPr="006024F3">
        <w:rPr>
          <w:b/>
          <w:sz w:val="24"/>
        </w:rPr>
        <w:t>c)</w:t>
      </w:r>
      <w:r w:rsidR="00F739B3" w:rsidRPr="006024F3">
        <w:rPr>
          <w:b/>
          <w:sz w:val="24"/>
        </w:rPr>
        <w:t>-Caractéristiques principales du projet</w:t>
      </w:r>
    </w:p>
    <w:p w14:paraId="053CCD98" w14:textId="77777777" w:rsidR="00F739B3" w:rsidRPr="00D8749A" w:rsidRDefault="00F739B3" w:rsidP="00C12545">
      <w:pPr>
        <w:rPr>
          <w:sz w:val="24"/>
          <w:u w:val="single"/>
        </w:rPr>
      </w:pPr>
      <w:r w:rsidRPr="00D8749A">
        <w:rPr>
          <w:sz w:val="24"/>
          <w:u w:val="single"/>
        </w:rPr>
        <w:t xml:space="preserve">Les partis pris </w:t>
      </w:r>
    </w:p>
    <w:p w14:paraId="08A8042F" w14:textId="77777777" w:rsidR="00F739B3" w:rsidRPr="00D8749A" w:rsidRDefault="00F739B3" w:rsidP="00C12545">
      <w:pPr>
        <w:rPr>
          <w:sz w:val="24"/>
          <w:u w:val="single"/>
        </w:rPr>
      </w:pPr>
      <w:r w:rsidRPr="00D8749A">
        <w:rPr>
          <w:sz w:val="24"/>
        </w:rPr>
        <w:t>Un site vitrine plus moderne et serviciel, reflet de l’attractivité et de l’activité de l’IAE, en phase avec les nouvelles façons de consommer l’information des internautes</w:t>
      </w:r>
    </w:p>
    <w:p w14:paraId="30B528E3" w14:textId="77777777" w:rsidR="00F739B3" w:rsidRPr="00D8749A" w:rsidRDefault="00F739B3" w:rsidP="00C12545">
      <w:pPr>
        <w:pStyle w:val="Paragraphedeliste"/>
        <w:numPr>
          <w:ilvl w:val="0"/>
          <w:numId w:val="35"/>
        </w:numPr>
        <w:spacing w:line="276" w:lineRule="auto"/>
        <w:jc w:val="left"/>
        <w:rPr>
          <w:sz w:val="24"/>
        </w:rPr>
      </w:pPr>
      <w:r w:rsidRPr="00D8749A">
        <w:rPr>
          <w:b/>
          <w:sz w:val="24"/>
        </w:rPr>
        <w:t>User centrics</w:t>
      </w:r>
      <w:r w:rsidRPr="00D8749A">
        <w:rPr>
          <w:b/>
          <w:sz w:val="24"/>
        </w:rPr>
        <w:br/>
      </w:r>
      <w:r w:rsidRPr="00D8749A">
        <w:rPr>
          <w:sz w:val="24"/>
        </w:rPr>
        <w:t xml:space="preserve">Avoir une approche davantage tournée vers les internautes pour améliorer l’expérience utilisateur et faciliter l’accès à l’information, plus servicielle dans le traitement de l’information (traitement graphique, fonctionnel et éditorial). </w:t>
      </w:r>
    </w:p>
    <w:p w14:paraId="30EE4D94" w14:textId="77777777" w:rsidR="00F739B3" w:rsidRPr="00D8749A" w:rsidRDefault="00F739B3" w:rsidP="00C12545">
      <w:pPr>
        <w:pStyle w:val="Paragraphedeliste"/>
        <w:numPr>
          <w:ilvl w:val="0"/>
          <w:numId w:val="35"/>
        </w:numPr>
        <w:spacing w:line="276" w:lineRule="auto"/>
        <w:jc w:val="left"/>
        <w:rPr>
          <w:sz w:val="24"/>
        </w:rPr>
      </w:pPr>
      <w:r w:rsidRPr="00D8749A">
        <w:rPr>
          <w:b/>
          <w:sz w:val="24"/>
        </w:rPr>
        <w:t>Mobile first</w:t>
      </w:r>
      <w:r w:rsidRPr="00D8749A">
        <w:rPr>
          <w:b/>
          <w:sz w:val="24"/>
        </w:rPr>
        <w:br/>
      </w:r>
      <w:r w:rsidRPr="00D8749A">
        <w:rPr>
          <w:sz w:val="24"/>
        </w:rPr>
        <w:t xml:space="preserve">Améliorer l’expérience utilisateur sur mobile en proposant un site responsive design </w:t>
      </w:r>
    </w:p>
    <w:p w14:paraId="4122FAB0" w14:textId="77777777" w:rsidR="00F739B3" w:rsidRPr="00D8749A" w:rsidRDefault="00F739B3" w:rsidP="00C12545">
      <w:pPr>
        <w:pStyle w:val="Paragraphedeliste"/>
        <w:numPr>
          <w:ilvl w:val="0"/>
          <w:numId w:val="35"/>
        </w:numPr>
        <w:spacing w:line="276" w:lineRule="auto"/>
        <w:jc w:val="left"/>
        <w:rPr>
          <w:sz w:val="24"/>
        </w:rPr>
      </w:pPr>
      <w:r w:rsidRPr="00D8749A">
        <w:rPr>
          <w:b/>
          <w:sz w:val="24"/>
        </w:rPr>
        <w:t>Un écosystème digital harmonisé</w:t>
      </w:r>
      <w:r w:rsidRPr="00D8749A">
        <w:rPr>
          <w:b/>
          <w:sz w:val="24"/>
        </w:rPr>
        <w:br/>
      </w:r>
      <w:r w:rsidRPr="00D8749A">
        <w:rPr>
          <w:sz w:val="24"/>
        </w:rPr>
        <w:t>Intégrer le site du laboratoire de recherche de l’IAE Paris au site institutionnel pour donner une visibilité plus importante à la recherche, pilier phare de l’activité de l’IAE aux côtés de la formation</w:t>
      </w:r>
    </w:p>
    <w:p w14:paraId="75F7F632" w14:textId="77777777" w:rsidR="00F739B3" w:rsidRDefault="00F739B3" w:rsidP="00C12545">
      <w:pPr>
        <w:pStyle w:val="Paragraphedeliste"/>
        <w:spacing w:line="276" w:lineRule="auto"/>
        <w:ind w:left="360" w:hanging="360"/>
        <w:rPr>
          <w:b/>
          <w:sz w:val="24"/>
        </w:rPr>
      </w:pPr>
      <w:r w:rsidRPr="00D8749A">
        <w:rPr>
          <w:b/>
          <w:sz w:val="24"/>
        </w:rPr>
        <w:t>En front office, il est souhaité un site :</w:t>
      </w:r>
    </w:p>
    <w:p w14:paraId="44ACC836" w14:textId="77777777" w:rsidR="00F739B3" w:rsidRDefault="00F739B3" w:rsidP="00C12545">
      <w:pPr>
        <w:pStyle w:val="Paragraphedeliste"/>
        <w:spacing w:line="276" w:lineRule="auto"/>
        <w:ind w:left="360" w:hanging="360"/>
        <w:rPr>
          <w:sz w:val="24"/>
        </w:rPr>
      </w:pPr>
      <w:r w:rsidRPr="00D8749A">
        <w:rPr>
          <w:sz w:val="24"/>
        </w:rPr>
        <w:t>- plus serviciel en ajoutant de nouvelles fonctionnalités et en optimisant l’existant</w:t>
      </w:r>
    </w:p>
    <w:p w14:paraId="338996C3" w14:textId="77777777" w:rsidR="00F739B3" w:rsidRDefault="00F739B3" w:rsidP="00C12545">
      <w:pPr>
        <w:pStyle w:val="Paragraphedeliste"/>
        <w:spacing w:line="276" w:lineRule="auto"/>
        <w:ind w:left="360" w:hanging="360"/>
        <w:rPr>
          <w:sz w:val="24"/>
        </w:rPr>
      </w:pPr>
      <w:r w:rsidRPr="00D8749A">
        <w:rPr>
          <w:sz w:val="24"/>
        </w:rPr>
        <w:t>- plus visuel, ergonomique, convivial et agréable</w:t>
      </w:r>
    </w:p>
    <w:p w14:paraId="406973D5" w14:textId="77777777" w:rsidR="00F739B3" w:rsidRDefault="00F739B3" w:rsidP="00C12545">
      <w:pPr>
        <w:pStyle w:val="Paragraphedeliste"/>
        <w:spacing w:line="276" w:lineRule="auto"/>
        <w:ind w:left="360" w:hanging="360"/>
        <w:rPr>
          <w:sz w:val="24"/>
        </w:rPr>
      </w:pPr>
      <w:r w:rsidRPr="00D8749A">
        <w:rPr>
          <w:sz w:val="24"/>
        </w:rPr>
        <w:t>- qui offre une meilleure visibilité des contenus</w:t>
      </w:r>
    </w:p>
    <w:p w14:paraId="288D86AD" w14:textId="77777777" w:rsidR="00F739B3" w:rsidRDefault="00F739B3" w:rsidP="00C12545">
      <w:pPr>
        <w:pStyle w:val="Paragraphedeliste"/>
        <w:spacing w:line="276" w:lineRule="auto"/>
        <w:ind w:left="360" w:hanging="360"/>
        <w:rPr>
          <w:sz w:val="24"/>
        </w:rPr>
      </w:pPr>
      <w:r w:rsidRPr="00D8749A">
        <w:rPr>
          <w:sz w:val="24"/>
        </w:rPr>
        <w:t>- qui améliore la lisibilité de l’information</w:t>
      </w:r>
    </w:p>
    <w:p w14:paraId="58745B96" w14:textId="77777777" w:rsidR="00F739B3" w:rsidRDefault="00F739B3" w:rsidP="00C64954">
      <w:pPr>
        <w:pStyle w:val="Paragraphedeliste"/>
        <w:spacing w:line="276" w:lineRule="auto"/>
        <w:ind w:left="0"/>
        <w:rPr>
          <w:sz w:val="24"/>
        </w:rPr>
      </w:pPr>
      <w:r w:rsidRPr="00D8749A">
        <w:rPr>
          <w:sz w:val="24"/>
        </w:rPr>
        <w:t>- qui permet de mieux scénariser les contenus en utilisant des formats variés en plus des contenus textuels (photos, bannières, vidéos, infographies dynamiques ou non, flux twitter, etc.)</w:t>
      </w:r>
    </w:p>
    <w:p w14:paraId="74384D53" w14:textId="77777777" w:rsidR="00C64954" w:rsidRDefault="00F739B3" w:rsidP="00C64954">
      <w:pPr>
        <w:pStyle w:val="Paragraphedeliste"/>
        <w:spacing w:line="276" w:lineRule="auto"/>
        <w:ind w:left="0"/>
        <w:rPr>
          <w:sz w:val="24"/>
        </w:rPr>
      </w:pPr>
      <w:r w:rsidRPr="00D8749A">
        <w:rPr>
          <w:sz w:val="24"/>
        </w:rPr>
        <w:t>- qui favorise la navigation dans le site (promotion de contenus d’actu</w:t>
      </w:r>
      <w:r w:rsidR="00C64954">
        <w:rPr>
          <w:sz w:val="24"/>
        </w:rPr>
        <w:t>alité et de contenus associés)</w:t>
      </w:r>
    </w:p>
    <w:p w14:paraId="02EA60F0" w14:textId="167A7DC9" w:rsidR="00F739B3" w:rsidRDefault="00F739B3" w:rsidP="00C12545">
      <w:pPr>
        <w:pStyle w:val="Paragraphedeliste"/>
        <w:spacing w:line="276" w:lineRule="auto"/>
        <w:ind w:left="360" w:hanging="360"/>
        <w:rPr>
          <w:sz w:val="24"/>
        </w:rPr>
      </w:pPr>
      <w:r w:rsidRPr="00D8749A">
        <w:rPr>
          <w:sz w:val="24"/>
        </w:rPr>
        <w:lastRenderedPageBreak/>
        <w:t>- qui incite au partage de contenus sur les réseaux sociaux</w:t>
      </w:r>
    </w:p>
    <w:p w14:paraId="749589B0" w14:textId="77777777" w:rsidR="00F739B3" w:rsidRDefault="00F739B3" w:rsidP="00C12545">
      <w:pPr>
        <w:pStyle w:val="Paragraphedeliste"/>
        <w:spacing w:line="276" w:lineRule="auto"/>
        <w:ind w:left="360" w:hanging="360"/>
        <w:jc w:val="left"/>
        <w:rPr>
          <w:i/>
          <w:sz w:val="24"/>
        </w:rPr>
      </w:pPr>
      <w:r w:rsidRPr="00D8749A">
        <w:rPr>
          <w:sz w:val="24"/>
        </w:rPr>
        <w:t>- qui respecte les normes d’accessibilité</w:t>
      </w:r>
      <w:r w:rsidRPr="00D8749A">
        <w:rPr>
          <w:sz w:val="24"/>
        </w:rPr>
        <w:br/>
      </w:r>
      <w:r w:rsidRPr="00D8749A">
        <w:rPr>
          <w:i/>
          <w:sz w:val="24"/>
        </w:rPr>
        <w:t>Livrables attendus : zonings/wireframes, front office, charte ergonomique</w:t>
      </w:r>
    </w:p>
    <w:p w14:paraId="27D00F1D" w14:textId="77777777" w:rsidR="00F739B3" w:rsidRDefault="00F739B3" w:rsidP="00C12545">
      <w:pPr>
        <w:pStyle w:val="Paragraphedeliste"/>
        <w:spacing w:line="276" w:lineRule="auto"/>
        <w:ind w:left="360" w:hanging="360"/>
        <w:rPr>
          <w:b/>
          <w:sz w:val="24"/>
        </w:rPr>
      </w:pPr>
      <w:r w:rsidRPr="00D8749A">
        <w:rPr>
          <w:b/>
          <w:sz w:val="24"/>
        </w:rPr>
        <w:t>En back office, il est souhaité un</w:t>
      </w:r>
      <w:r>
        <w:rPr>
          <w:b/>
          <w:sz w:val="24"/>
        </w:rPr>
        <w:t xml:space="preserve"> outil de gestion de contenus :</w:t>
      </w:r>
    </w:p>
    <w:p w14:paraId="73E0A4C6" w14:textId="77777777" w:rsidR="00F739B3" w:rsidRDefault="00F739B3" w:rsidP="00C12545">
      <w:pPr>
        <w:pStyle w:val="Paragraphedeliste"/>
        <w:spacing w:line="276" w:lineRule="auto"/>
        <w:ind w:left="0"/>
        <w:rPr>
          <w:sz w:val="24"/>
        </w:rPr>
      </w:pPr>
      <w:r w:rsidRPr="00D8749A">
        <w:rPr>
          <w:sz w:val="24"/>
        </w:rPr>
        <w:t>- qui favorise la gestion quotidienne du site en toute autonomie via un CM</w:t>
      </w:r>
      <w:r>
        <w:rPr>
          <w:sz w:val="24"/>
        </w:rPr>
        <w:t>S souple, flexible et modulaire</w:t>
      </w:r>
    </w:p>
    <w:p w14:paraId="0C1E2696" w14:textId="77777777" w:rsidR="00F739B3" w:rsidRDefault="00F739B3" w:rsidP="00C12545">
      <w:pPr>
        <w:pStyle w:val="Paragraphedeliste"/>
        <w:spacing w:line="276" w:lineRule="auto"/>
        <w:ind w:left="360" w:hanging="360"/>
        <w:rPr>
          <w:sz w:val="24"/>
        </w:rPr>
      </w:pPr>
      <w:r w:rsidRPr="00D8749A">
        <w:rPr>
          <w:sz w:val="24"/>
        </w:rPr>
        <w:t>- qui contribue au pilotage éditorial du site</w:t>
      </w:r>
    </w:p>
    <w:p w14:paraId="5E72777B" w14:textId="77777777" w:rsidR="00C64954" w:rsidRDefault="00C64954" w:rsidP="00C12545">
      <w:pPr>
        <w:pStyle w:val="Paragraphedeliste"/>
        <w:spacing w:line="276" w:lineRule="auto"/>
        <w:ind w:left="0"/>
        <w:rPr>
          <w:sz w:val="24"/>
        </w:rPr>
      </w:pPr>
      <w:r>
        <w:rPr>
          <w:sz w:val="24"/>
        </w:rPr>
        <w:t xml:space="preserve">- </w:t>
      </w:r>
      <w:r w:rsidR="00F739B3" w:rsidRPr="00D8749A">
        <w:rPr>
          <w:sz w:val="24"/>
        </w:rPr>
        <w:t>qui permet un process de publication de contenus en s’appuyant sur un réseau de contributeurs, de publicateurs et d’administrateurs (workflow)</w:t>
      </w:r>
    </w:p>
    <w:p w14:paraId="4E86B498" w14:textId="32BED808" w:rsidR="00F739B3" w:rsidRPr="00D8749A" w:rsidRDefault="00F739B3" w:rsidP="00C12545">
      <w:pPr>
        <w:pStyle w:val="Paragraphedeliste"/>
        <w:spacing w:line="276" w:lineRule="auto"/>
        <w:ind w:left="0"/>
        <w:rPr>
          <w:sz w:val="24"/>
        </w:rPr>
      </w:pPr>
      <w:r w:rsidRPr="00D8749A">
        <w:rPr>
          <w:i/>
          <w:sz w:val="24"/>
        </w:rPr>
        <w:t>Livrables attendus : plateforme de publication de contenus, spécifications fonctionnelles et techniques détaillées, formation des contributeurs/validateurs/administrateurs au CMS, guide d’utilisation</w:t>
      </w:r>
    </w:p>
    <w:p w14:paraId="20CB0B0E" w14:textId="77777777" w:rsidR="00F739B3" w:rsidRPr="00D8749A" w:rsidRDefault="00F739B3" w:rsidP="00C12545">
      <w:pPr>
        <w:rPr>
          <w:sz w:val="24"/>
        </w:rPr>
      </w:pPr>
      <w:r w:rsidRPr="00D8749A">
        <w:rPr>
          <w:b/>
          <w:sz w:val="24"/>
        </w:rPr>
        <w:t>Au niveau du graphisme</w:t>
      </w:r>
      <w:r w:rsidRPr="00D8749A">
        <w:rPr>
          <w:sz w:val="24"/>
        </w:rPr>
        <w:t>, le web design devra être au service de l’ergonomie, du contenu, du référencement et du mobile. Il conviendra de s’appuyer sur le nouveau territoire graphique de l’IAE Paris pour décliner les templates du site. Le graphisme devra optimiser la lisibilité du site en général.</w:t>
      </w:r>
    </w:p>
    <w:p w14:paraId="2873D7C7" w14:textId="77777777" w:rsidR="00F739B3" w:rsidRPr="00D8749A" w:rsidRDefault="00F739B3" w:rsidP="00C12545">
      <w:pPr>
        <w:rPr>
          <w:i/>
          <w:sz w:val="24"/>
        </w:rPr>
      </w:pPr>
      <w:r w:rsidRPr="00D8749A">
        <w:rPr>
          <w:i/>
          <w:sz w:val="24"/>
        </w:rPr>
        <w:t>Livrables attendus : maquettes graphiques, charte graphique du site</w:t>
      </w:r>
    </w:p>
    <w:p w14:paraId="7F29AFE7" w14:textId="77777777" w:rsidR="00F739B3" w:rsidRPr="00D8749A" w:rsidRDefault="00F739B3" w:rsidP="00C12545">
      <w:pPr>
        <w:rPr>
          <w:i/>
          <w:sz w:val="24"/>
        </w:rPr>
      </w:pPr>
    </w:p>
    <w:p w14:paraId="7D4E1D1C" w14:textId="70CFA254" w:rsidR="00F739B3" w:rsidRPr="00A721C5" w:rsidRDefault="00F739B3" w:rsidP="00C12545">
      <w:pPr>
        <w:rPr>
          <w:b/>
          <w:sz w:val="24"/>
        </w:rPr>
      </w:pPr>
      <w:r w:rsidRPr="00A721C5">
        <w:rPr>
          <w:b/>
          <w:sz w:val="24"/>
        </w:rPr>
        <w:t xml:space="preserve">Les attendus concernant le front office et le graphisme sont précisés en annexe au </w:t>
      </w:r>
      <w:r w:rsidR="0091509A" w:rsidRPr="00A721C5">
        <w:rPr>
          <w:b/>
          <w:sz w:val="24"/>
        </w:rPr>
        <w:t>présent cahier des charges « l</w:t>
      </w:r>
      <w:r w:rsidRPr="00A721C5">
        <w:rPr>
          <w:b/>
          <w:sz w:val="24"/>
        </w:rPr>
        <w:t>es premiers axes de la refonte ». Il s’agit de premières pistes qui peuvent être enrichies par des propositions des candidats.</w:t>
      </w:r>
    </w:p>
    <w:p w14:paraId="0549E010" w14:textId="77777777" w:rsidR="00356259" w:rsidRDefault="00356259" w:rsidP="00C12545">
      <w:pPr>
        <w:rPr>
          <w:sz w:val="24"/>
        </w:rPr>
      </w:pPr>
    </w:p>
    <w:p w14:paraId="63D30122" w14:textId="77777777" w:rsidR="00C64954" w:rsidRDefault="00356259" w:rsidP="00C64954">
      <w:pPr>
        <w:rPr>
          <w:sz w:val="24"/>
        </w:rPr>
      </w:pPr>
      <w:r>
        <w:rPr>
          <w:b/>
          <w:sz w:val="24"/>
        </w:rPr>
        <w:t>LOT 3</w:t>
      </w:r>
    </w:p>
    <w:p w14:paraId="38BFC677" w14:textId="74A11C99" w:rsidR="00F739B3" w:rsidRPr="00D8749A" w:rsidRDefault="00F739B3" w:rsidP="00C64954">
      <w:pPr>
        <w:rPr>
          <w:sz w:val="24"/>
        </w:rPr>
      </w:pPr>
      <w:r w:rsidRPr="00D8749A">
        <w:rPr>
          <w:b/>
          <w:sz w:val="24"/>
        </w:rPr>
        <w:t xml:space="preserve">Concernant la maintenance, </w:t>
      </w:r>
      <w:r w:rsidRPr="00D8749A">
        <w:rPr>
          <w:sz w:val="24"/>
        </w:rPr>
        <w:t>une prestation est attendue sur les aspects préventifs, correctifs et curatifs. Les délais d’intervention pour ce qui concerne la maintenance curative devront être courts notamment en période critique pour rétablir le service (périodes d’inscription notamment). Le service de maintenance devra être joignable facilement par téléphone, mail ou via une plateforme dédiée (tickets).</w:t>
      </w:r>
    </w:p>
    <w:p w14:paraId="302D907C" w14:textId="77777777" w:rsidR="00F739B3" w:rsidRPr="00D8749A" w:rsidRDefault="00F739B3" w:rsidP="00C12545">
      <w:pPr>
        <w:rPr>
          <w:i/>
          <w:sz w:val="24"/>
        </w:rPr>
      </w:pPr>
      <w:r w:rsidRPr="00D8749A">
        <w:rPr>
          <w:i/>
          <w:sz w:val="24"/>
        </w:rPr>
        <w:t>Livrables attendus : détails des interventions et délais prévues dans le cadre de la maintenance</w:t>
      </w:r>
    </w:p>
    <w:p w14:paraId="6ED8DDE5" w14:textId="082CEF58" w:rsidR="00F739B3" w:rsidRDefault="00F739B3" w:rsidP="00C12545">
      <w:pPr>
        <w:rPr>
          <w:rFonts w:ascii="Times New Roman" w:hAnsi="Times New Roman"/>
          <w:color w:val="000000"/>
          <w:sz w:val="24"/>
          <w:lang w:eastAsia="ja-JP"/>
        </w:rPr>
      </w:pPr>
    </w:p>
    <w:p w14:paraId="022BFE0C" w14:textId="77777777" w:rsidR="00356259" w:rsidRPr="00356259" w:rsidRDefault="00356259" w:rsidP="00C12545">
      <w:pPr>
        <w:rPr>
          <w:rFonts w:asciiTheme="majorHAnsi" w:hAnsiTheme="majorHAnsi"/>
          <w:sz w:val="24"/>
        </w:rPr>
      </w:pPr>
      <w:r w:rsidRPr="00356259">
        <w:rPr>
          <w:rFonts w:asciiTheme="majorHAnsi" w:hAnsiTheme="majorHAnsi"/>
          <w:sz w:val="24"/>
        </w:rPr>
        <w:t xml:space="preserve">Le candidat devra soumissionner à l’ensemble des lots. Le marché sera attribué à une seule entreprise pour la totalité des trois lots. Les lots seront appréciés lot par lot. </w:t>
      </w:r>
    </w:p>
    <w:p w14:paraId="081BEBE3" w14:textId="007BE2C2" w:rsidR="00F739B3" w:rsidRPr="00356259" w:rsidRDefault="00F739B3" w:rsidP="00C12545">
      <w:pPr>
        <w:rPr>
          <w:rFonts w:asciiTheme="majorHAnsi" w:hAnsiTheme="majorHAnsi"/>
          <w:sz w:val="24"/>
        </w:rPr>
      </w:pPr>
      <w:r w:rsidRPr="00356259">
        <w:rPr>
          <w:rFonts w:asciiTheme="majorHAnsi" w:hAnsiTheme="majorHAnsi"/>
          <w:color w:val="000000"/>
          <w:sz w:val="24"/>
          <w:lang w:eastAsia="ja-JP"/>
        </w:rPr>
        <w:t>Il est susceptible de faire l’objet de modifications telles que prévues aux points 2° et 3° de l’article 139 du décret n°2016-360 du 25 mars 2016.</w:t>
      </w:r>
      <w:r w:rsidRPr="00356259">
        <w:rPr>
          <w:rFonts w:asciiTheme="majorHAnsi" w:hAnsiTheme="majorHAnsi" w:cs="Arial"/>
          <w:color w:val="000000"/>
          <w:sz w:val="20"/>
          <w:szCs w:val="20"/>
          <w:lang w:eastAsia="ja-JP"/>
        </w:rPr>
        <w:t xml:space="preserve"> </w:t>
      </w:r>
    </w:p>
    <w:p w14:paraId="0AF9351F" w14:textId="7DA81AB3" w:rsidR="00426584" w:rsidRPr="00C44970" w:rsidRDefault="00426584" w:rsidP="00C12545">
      <w:pPr>
        <w:rPr>
          <w:rFonts w:asciiTheme="majorHAnsi" w:hAnsiTheme="majorHAnsi"/>
        </w:rPr>
      </w:pPr>
    </w:p>
    <w:p w14:paraId="21BCCCFD" w14:textId="2D01D0D1" w:rsidR="008E0EDA" w:rsidRPr="00C44970" w:rsidRDefault="008E0EDA" w:rsidP="00C12545">
      <w:pPr>
        <w:rPr>
          <w:rFonts w:asciiTheme="majorHAnsi" w:hAnsiTheme="majorHAnsi"/>
          <w:sz w:val="24"/>
        </w:rPr>
      </w:pPr>
    </w:p>
    <w:p w14:paraId="04F0CA81" w14:textId="608635DF" w:rsidR="00673D24" w:rsidRPr="00EF723A" w:rsidRDefault="0091509A" w:rsidP="00C12545">
      <w:pPr>
        <w:pStyle w:val="Titre1"/>
        <w:keepNext w:val="0"/>
        <w:numPr>
          <w:ilvl w:val="0"/>
          <w:numId w:val="0"/>
        </w:numPr>
        <w:spacing w:before="0" w:after="0"/>
        <w:ind w:left="574" w:hanging="432"/>
        <w:rPr>
          <w:rFonts w:asciiTheme="majorHAnsi" w:hAnsiTheme="majorHAnsi"/>
          <w:sz w:val="28"/>
          <w:szCs w:val="28"/>
          <w:u w:val="single"/>
        </w:rPr>
      </w:pPr>
      <w:r w:rsidRPr="00EF723A">
        <w:rPr>
          <w:rFonts w:asciiTheme="majorHAnsi" w:hAnsiTheme="majorHAnsi"/>
          <w:sz w:val="28"/>
          <w:szCs w:val="28"/>
        </w:rPr>
        <w:t>2</w:t>
      </w:r>
      <w:r w:rsidR="00590B74" w:rsidRPr="00EF723A">
        <w:rPr>
          <w:rFonts w:asciiTheme="majorHAnsi" w:hAnsiTheme="majorHAnsi"/>
          <w:sz w:val="28"/>
          <w:szCs w:val="28"/>
        </w:rPr>
        <w:tab/>
      </w:r>
      <w:r w:rsidR="00673D24" w:rsidRPr="00EF723A">
        <w:rPr>
          <w:rFonts w:asciiTheme="majorHAnsi" w:hAnsiTheme="majorHAnsi"/>
          <w:sz w:val="28"/>
          <w:szCs w:val="28"/>
          <w:u w:val="single"/>
        </w:rPr>
        <w:t>Documents contractuels</w:t>
      </w:r>
    </w:p>
    <w:p w14:paraId="249559DB" w14:textId="77777777" w:rsidR="00673D24" w:rsidRPr="00C44970" w:rsidRDefault="00673D24" w:rsidP="00C12545">
      <w:pPr>
        <w:rPr>
          <w:rFonts w:asciiTheme="majorHAnsi" w:hAnsiTheme="majorHAnsi"/>
        </w:rPr>
      </w:pPr>
    </w:p>
    <w:p w14:paraId="10A4F9BB" w14:textId="1A1FA780" w:rsidR="00673D24" w:rsidRDefault="00673D24" w:rsidP="00C12545">
      <w:pPr>
        <w:pStyle w:val="Normal1"/>
        <w:numPr>
          <w:ilvl w:val="0"/>
          <w:numId w:val="1"/>
        </w:numPr>
        <w:ind w:left="851"/>
        <w:rPr>
          <w:rFonts w:asciiTheme="majorHAnsi" w:hAnsiTheme="majorHAnsi"/>
          <w:sz w:val="24"/>
        </w:rPr>
      </w:pPr>
      <w:r w:rsidRPr="00C44970">
        <w:rPr>
          <w:rFonts w:asciiTheme="majorHAnsi" w:hAnsiTheme="majorHAnsi"/>
          <w:sz w:val="24"/>
        </w:rPr>
        <w:t xml:space="preserve">L’acte d’engagement (A.E.), </w:t>
      </w:r>
    </w:p>
    <w:p w14:paraId="4B699C09" w14:textId="34736E50" w:rsidR="00DC0FE7" w:rsidRPr="006E78C1" w:rsidRDefault="00DC0FE7" w:rsidP="00C12545">
      <w:pPr>
        <w:pStyle w:val="Normal1"/>
        <w:numPr>
          <w:ilvl w:val="0"/>
          <w:numId w:val="1"/>
        </w:numPr>
        <w:ind w:left="851"/>
        <w:rPr>
          <w:rFonts w:asciiTheme="majorHAnsi" w:hAnsiTheme="majorHAnsi"/>
          <w:sz w:val="24"/>
        </w:rPr>
      </w:pPr>
      <w:r w:rsidRPr="006E78C1">
        <w:rPr>
          <w:rFonts w:asciiTheme="majorHAnsi" w:hAnsiTheme="majorHAnsi"/>
          <w:sz w:val="24"/>
        </w:rPr>
        <w:t>La présentation de l’équipe dédiée au projet arrêtée au moment de la notification</w:t>
      </w:r>
    </w:p>
    <w:p w14:paraId="240D463D" w14:textId="10FC7D4A" w:rsidR="00673D24" w:rsidRDefault="00673D24" w:rsidP="00C12545">
      <w:pPr>
        <w:pStyle w:val="Paragraphedeliste"/>
        <w:numPr>
          <w:ilvl w:val="0"/>
          <w:numId w:val="1"/>
        </w:numPr>
        <w:tabs>
          <w:tab w:val="left" w:pos="567"/>
        </w:tabs>
        <w:autoSpaceDE w:val="0"/>
        <w:autoSpaceDN w:val="0"/>
        <w:adjustRightInd w:val="0"/>
        <w:ind w:left="851"/>
        <w:rPr>
          <w:rFonts w:ascii="Times New Roman" w:hAnsi="Times New Roman"/>
          <w:sz w:val="24"/>
        </w:rPr>
      </w:pPr>
      <w:r w:rsidRPr="00C44970">
        <w:rPr>
          <w:rFonts w:asciiTheme="majorHAnsi" w:hAnsiTheme="majorHAnsi"/>
          <w:sz w:val="24"/>
        </w:rPr>
        <w:t xml:space="preserve">Le présent cahier des clauses </w:t>
      </w:r>
      <w:r w:rsidR="00DF5FCF" w:rsidRPr="00C44970">
        <w:rPr>
          <w:rFonts w:asciiTheme="majorHAnsi" w:hAnsiTheme="majorHAnsi"/>
          <w:sz w:val="24"/>
        </w:rPr>
        <w:t>particulières (CC</w:t>
      </w:r>
      <w:r w:rsidRPr="00C44970">
        <w:rPr>
          <w:rFonts w:asciiTheme="majorHAnsi" w:hAnsiTheme="majorHAnsi"/>
          <w:sz w:val="24"/>
        </w:rPr>
        <w:t>P)</w:t>
      </w:r>
      <w:r w:rsidR="00DC0FE7" w:rsidRPr="00DC0FE7">
        <w:rPr>
          <w:rFonts w:ascii="Times New Roman" w:hAnsi="Times New Roman"/>
          <w:sz w:val="24"/>
        </w:rPr>
        <w:t xml:space="preserve"> </w:t>
      </w:r>
      <w:r w:rsidR="00DC0FE7" w:rsidRPr="00F4473A">
        <w:rPr>
          <w:rFonts w:ascii="Times New Roman" w:hAnsi="Times New Roman"/>
          <w:sz w:val="24"/>
        </w:rPr>
        <w:t>n’</w:t>
      </w:r>
      <w:r w:rsidR="00DC0FE7">
        <w:rPr>
          <w:rFonts w:ascii="Times New Roman" w:hAnsi="Times New Roman"/>
          <w:sz w:val="24"/>
        </w:rPr>
        <w:t>a</w:t>
      </w:r>
      <w:r w:rsidR="00DC0FE7" w:rsidRPr="00F4473A">
        <w:rPr>
          <w:rFonts w:ascii="Times New Roman" w:hAnsi="Times New Roman"/>
          <w:sz w:val="24"/>
        </w:rPr>
        <w:t xml:space="preserve"> pas à être remis</w:t>
      </w:r>
      <w:r w:rsidR="00DC0FE7">
        <w:rPr>
          <w:rFonts w:asciiTheme="majorHAnsi" w:hAnsiTheme="majorHAnsi"/>
          <w:sz w:val="24"/>
        </w:rPr>
        <w:t>. Il est</w:t>
      </w:r>
      <w:r w:rsidR="00DC0FE7">
        <w:rPr>
          <w:rFonts w:ascii="Times New Roman" w:hAnsi="Times New Roman"/>
          <w:sz w:val="24"/>
        </w:rPr>
        <w:t xml:space="preserve"> réputé </w:t>
      </w:r>
      <w:r w:rsidR="0091509A" w:rsidRPr="00F4473A">
        <w:rPr>
          <w:rFonts w:ascii="Times New Roman" w:hAnsi="Times New Roman"/>
          <w:sz w:val="24"/>
        </w:rPr>
        <w:t>lu et approuvé par la s</w:t>
      </w:r>
      <w:r w:rsidR="006E78C1">
        <w:rPr>
          <w:rFonts w:ascii="Times New Roman" w:hAnsi="Times New Roman"/>
          <w:sz w:val="24"/>
        </w:rPr>
        <w:t>ignature de l’acte d’engagement. Il en est de même pour les annexes :</w:t>
      </w:r>
    </w:p>
    <w:p w14:paraId="47019DE5" w14:textId="3DF041DD" w:rsidR="006E78C1" w:rsidRPr="006E78C1" w:rsidRDefault="006E78C1" w:rsidP="006E78C1">
      <w:pPr>
        <w:pStyle w:val="Paragraphedeliste"/>
        <w:ind w:left="284"/>
        <w:rPr>
          <w:sz w:val="24"/>
        </w:rPr>
      </w:pPr>
      <w:r>
        <w:rPr>
          <w:sz w:val="24"/>
        </w:rPr>
        <w:tab/>
      </w:r>
      <w:r>
        <w:rPr>
          <w:sz w:val="24"/>
        </w:rPr>
        <w:tab/>
      </w:r>
      <w:r w:rsidRPr="006E78C1">
        <w:rPr>
          <w:sz w:val="24"/>
        </w:rPr>
        <w:t>- « iae-paris.com, c’est quoi aujourd’hui »</w:t>
      </w:r>
    </w:p>
    <w:p w14:paraId="24132E43" w14:textId="0A9830A1" w:rsidR="006E78C1" w:rsidRPr="006E78C1" w:rsidRDefault="006E78C1" w:rsidP="006E78C1">
      <w:pPr>
        <w:pStyle w:val="Paragraphedeliste"/>
        <w:ind w:left="284"/>
        <w:rPr>
          <w:sz w:val="24"/>
        </w:rPr>
      </w:pPr>
      <w:r>
        <w:rPr>
          <w:sz w:val="24"/>
        </w:rPr>
        <w:tab/>
      </w:r>
      <w:r>
        <w:rPr>
          <w:sz w:val="24"/>
        </w:rPr>
        <w:tab/>
      </w:r>
      <w:r w:rsidRPr="006E78C1">
        <w:rPr>
          <w:sz w:val="24"/>
        </w:rPr>
        <w:t>- « Les premiers axes de la refonte »</w:t>
      </w:r>
    </w:p>
    <w:p w14:paraId="2C4C5AB1" w14:textId="0C6D7CDD" w:rsidR="007F369C" w:rsidRPr="00C44970" w:rsidRDefault="00673D24" w:rsidP="00C12545">
      <w:pPr>
        <w:pStyle w:val="Normal1"/>
        <w:numPr>
          <w:ilvl w:val="0"/>
          <w:numId w:val="1"/>
        </w:numPr>
        <w:ind w:left="851"/>
        <w:rPr>
          <w:rFonts w:asciiTheme="majorHAnsi" w:hAnsiTheme="majorHAnsi"/>
          <w:sz w:val="24"/>
        </w:rPr>
      </w:pPr>
      <w:r w:rsidRPr="00C44970">
        <w:rPr>
          <w:rFonts w:asciiTheme="majorHAnsi" w:hAnsiTheme="majorHAnsi"/>
          <w:sz w:val="24"/>
        </w:rPr>
        <w:t xml:space="preserve">Le cahier des clauses </w:t>
      </w:r>
      <w:r w:rsidR="008853F4" w:rsidRPr="00C44970">
        <w:rPr>
          <w:rFonts w:asciiTheme="majorHAnsi" w:hAnsiTheme="majorHAnsi"/>
          <w:sz w:val="24"/>
        </w:rPr>
        <w:t>administratives générales applicables aux marchés publics de techniques de l’information et de la communication (C.C.A.G.-T.I.C.), approuvé par l’arrêté du 16 septembre 2009 ;</w:t>
      </w:r>
    </w:p>
    <w:p w14:paraId="722EF8C2" w14:textId="77777777" w:rsidR="00673D24" w:rsidRPr="00C44970" w:rsidRDefault="00673D24" w:rsidP="00C12545">
      <w:pPr>
        <w:pStyle w:val="Normal1"/>
        <w:rPr>
          <w:rFonts w:asciiTheme="majorHAnsi" w:hAnsiTheme="majorHAnsi"/>
          <w:sz w:val="24"/>
        </w:rPr>
      </w:pPr>
    </w:p>
    <w:p w14:paraId="0F0A2477" w14:textId="0FA99869" w:rsidR="00673D24" w:rsidRPr="00C44970" w:rsidRDefault="00673D24" w:rsidP="00C12545">
      <w:pPr>
        <w:rPr>
          <w:rFonts w:asciiTheme="majorHAnsi" w:hAnsiTheme="majorHAnsi"/>
          <w:sz w:val="18"/>
        </w:rPr>
      </w:pPr>
      <w:r w:rsidRPr="00C44970">
        <w:rPr>
          <w:rFonts w:asciiTheme="majorHAnsi" w:hAnsiTheme="majorHAnsi"/>
          <w:sz w:val="24"/>
        </w:rPr>
        <w:t xml:space="preserve">Le </w:t>
      </w:r>
      <w:r w:rsidR="00DC0FE7">
        <w:rPr>
          <w:rFonts w:asciiTheme="majorHAnsi" w:hAnsiTheme="majorHAnsi"/>
          <w:sz w:val="24"/>
        </w:rPr>
        <w:t>t</w:t>
      </w:r>
      <w:r w:rsidR="00360CCB" w:rsidRPr="00C44970">
        <w:rPr>
          <w:rFonts w:asciiTheme="majorHAnsi" w:hAnsiTheme="majorHAnsi"/>
          <w:sz w:val="24"/>
        </w:rPr>
        <w:t>itulaire</w:t>
      </w:r>
      <w:r w:rsidRPr="00C44970">
        <w:rPr>
          <w:rFonts w:asciiTheme="majorHAnsi" w:hAnsiTheme="majorHAnsi"/>
          <w:sz w:val="24"/>
        </w:rPr>
        <w:t xml:space="preserve"> déclare connaître le CCAG</w:t>
      </w:r>
      <w:r w:rsidR="008853F4" w:rsidRPr="00C44970">
        <w:rPr>
          <w:rFonts w:asciiTheme="majorHAnsi" w:hAnsiTheme="majorHAnsi"/>
          <w:sz w:val="24"/>
        </w:rPr>
        <w:t>-TIC.</w:t>
      </w:r>
    </w:p>
    <w:p w14:paraId="1325919F" w14:textId="77777777" w:rsidR="00673D24" w:rsidRPr="00C44970" w:rsidRDefault="00673D24" w:rsidP="00C12545">
      <w:pPr>
        <w:rPr>
          <w:rFonts w:asciiTheme="majorHAnsi" w:hAnsiTheme="majorHAnsi"/>
          <w:sz w:val="18"/>
        </w:rPr>
      </w:pPr>
    </w:p>
    <w:p w14:paraId="55675520" w14:textId="77777777" w:rsidR="00673D24" w:rsidRPr="00C44970" w:rsidRDefault="00673D24" w:rsidP="00C12545">
      <w:pPr>
        <w:rPr>
          <w:rFonts w:asciiTheme="majorHAnsi" w:hAnsiTheme="majorHAnsi"/>
          <w:sz w:val="24"/>
        </w:rPr>
      </w:pPr>
      <w:r w:rsidRPr="00C44970">
        <w:rPr>
          <w:rFonts w:asciiTheme="majorHAnsi" w:hAnsiTheme="majorHAnsi"/>
          <w:sz w:val="24"/>
        </w:rPr>
        <w:t>Tous les documents relatifs au marché sont rédigés en langue française.</w:t>
      </w:r>
    </w:p>
    <w:p w14:paraId="78398EDA" w14:textId="77777777" w:rsidR="00673D24" w:rsidRPr="00C44970" w:rsidRDefault="00673D24" w:rsidP="00C12545">
      <w:pPr>
        <w:rPr>
          <w:rFonts w:asciiTheme="majorHAnsi" w:hAnsiTheme="majorHAnsi"/>
          <w:sz w:val="24"/>
        </w:rPr>
      </w:pPr>
    </w:p>
    <w:p w14:paraId="532A466B" w14:textId="1B2BEF5C" w:rsidR="00673D24" w:rsidRPr="00EF723A" w:rsidRDefault="00DC0FE7" w:rsidP="00C12545">
      <w:pPr>
        <w:pStyle w:val="Titre1"/>
        <w:keepNext w:val="0"/>
        <w:numPr>
          <w:ilvl w:val="0"/>
          <w:numId w:val="0"/>
        </w:numPr>
        <w:tabs>
          <w:tab w:val="left" w:pos="567"/>
        </w:tabs>
        <w:spacing w:before="0" w:after="0"/>
        <w:ind w:left="142"/>
        <w:rPr>
          <w:rFonts w:asciiTheme="majorHAnsi" w:hAnsiTheme="majorHAnsi"/>
          <w:sz w:val="28"/>
          <w:szCs w:val="28"/>
        </w:rPr>
      </w:pPr>
      <w:r w:rsidRPr="00EF723A">
        <w:rPr>
          <w:rFonts w:asciiTheme="majorHAnsi" w:hAnsiTheme="majorHAnsi"/>
          <w:sz w:val="28"/>
          <w:szCs w:val="28"/>
        </w:rPr>
        <w:t>3</w:t>
      </w:r>
      <w:r w:rsidR="00673D24" w:rsidRPr="00EF723A">
        <w:rPr>
          <w:rFonts w:asciiTheme="majorHAnsi" w:hAnsiTheme="majorHAnsi"/>
          <w:sz w:val="28"/>
          <w:szCs w:val="28"/>
        </w:rPr>
        <w:tab/>
      </w:r>
      <w:r w:rsidR="00673D24" w:rsidRPr="00EF723A">
        <w:rPr>
          <w:rFonts w:asciiTheme="majorHAnsi" w:hAnsiTheme="majorHAnsi"/>
          <w:sz w:val="28"/>
          <w:szCs w:val="28"/>
        </w:rPr>
        <w:tab/>
      </w:r>
      <w:r w:rsidR="00673D24" w:rsidRPr="00EF723A">
        <w:rPr>
          <w:rFonts w:asciiTheme="majorHAnsi" w:hAnsiTheme="majorHAnsi"/>
          <w:sz w:val="28"/>
          <w:szCs w:val="28"/>
          <w:u w:val="single"/>
        </w:rPr>
        <w:t>Durée du marché</w:t>
      </w:r>
    </w:p>
    <w:p w14:paraId="1AF7522A" w14:textId="4196D08E" w:rsidR="00283F3A" w:rsidRPr="00C44970" w:rsidRDefault="00283F3A" w:rsidP="00C12545">
      <w:pPr>
        <w:rPr>
          <w:rFonts w:asciiTheme="majorHAnsi" w:hAnsiTheme="majorHAnsi"/>
        </w:rPr>
      </w:pPr>
    </w:p>
    <w:p w14:paraId="5D0C5F54" w14:textId="6DB5BC77" w:rsidR="00DC0FE7" w:rsidRPr="00D8749A" w:rsidRDefault="00DC0FE7" w:rsidP="00C12545">
      <w:pPr>
        <w:rPr>
          <w:sz w:val="24"/>
        </w:rPr>
      </w:pPr>
      <w:r w:rsidRPr="00D8749A">
        <w:rPr>
          <w:sz w:val="24"/>
        </w:rPr>
        <w:t xml:space="preserve">Concernant le lot 1, </w:t>
      </w:r>
      <w:r>
        <w:rPr>
          <w:sz w:val="24"/>
        </w:rPr>
        <w:t>le</w:t>
      </w:r>
      <w:r w:rsidRPr="00D8749A">
        <w:rPr>
          <w:sz w:val="24"/>
        </w:rPr>
        <w:t xml:space="preserve"> </w:t>
      </w:r>
      <w:r>
        <w:rPr>
          <w:sz w:val="24"/>
        </w:rPr>
        <w:t>délai</w:t>
      </w:r>
      <w:r w:rsidRPr="00D8749A">
        <w:rPr>
          <w:sz w:val="24"/>
        </w:rPr>
        <w:t xml:space="preserve"> d’exécutio</w:t>
      </w:r>
      <w:r>
        <w:rPr>
          <w:sz w:val="24"/>
        </w:rPr>
        <w:t>n est fixé</w:t>
      </w:r>
      <w:r w:rsidRPr="00D8749A">
        <w:rPr>
          <w:sz w:val="24"/>
        </w:rPr>
        <w:t xml:space="preserve"> à 7 mois à partir de la date de notification prévue au plus tard le 1</w:t>
      </w:r>
      <w:r w:rsidRPr="00D8749A">
        <w:rPr>
          <w:sz w:val="24"/>
          <w:vertAlign w:val="superscript"/>
        </w:rPr>
        <w:t>er</w:t>
      </w:r>
      <w:r w:rsidRPr="00D8749A">
        <w:rPr>
          <w:sz w:val="24"/>
        </w:rPr>
        <w:t xml:space="preserve"> novembre 2018. Le nouveau site devra être opérationnel </w:t>
      </w:r>
      <w:r w:rsidRPr="00D8749A">
        <w:rPr>
          <w:b/>
          <w:sz w:val="24"/>
        </w:rPr>
        <w:t xml:space="preserve">au plus tard le 31 </w:t>
      </w:r>
      <w:r w:rsidR="008C3953" w:rsidRPr="00D8749A">
        <w:rPr>
          <w:b/>
          <w:sz w:val="24"/>
        </w:rPr>
        <w:t>mai 2019</w:t>
      </w:r>
      <w:r w:rsidRPr="00D8749A">
        <w:rPr>
          <w:sz w:val="24"/>
        </w:rPr>
        <w:t>.</w:t>
      </w:r>
    </w:p>
    <w:p w14:paraId="3EB20710" w14:textId="77777777" w:rsidR="00DC0FE7" w:rsidRDefault="00DC0FE7" w:rsidP="00C12545">
      <w:pPr>
        <w:rPr>
          <w:sz w:val="24"/>
        </w:rPr>
      </w:pPr>
      <w:r>
        <w:rPr>
          <w:sz w:val="24"/>
        </w:rPr>
        <w:t>La durée</w:t>
      </w:r>
      <w:r w:rsidRPr="00D8749A">
        <w:rPr>
          <w:sz w:val="24"/>
        </w:rPr>
        <w:t xml:space="preserve"> d’exécution du lot 2 ne prendra effet qu’après réception du site (vérification d</w:t>
      </w:r>
      <w:r>
        <w:rPr>
          <w:sz w:val="24"/>
        </w:rPr>
        <w:t>e service régulier positive) et est fixée à 4 ans.</w:t>
      </w:r>
    </w:p>
    <w:p w14:paraId="4EC5B9B8" w14:textId="77777777" w:rsidR="00DC0FE7" w:rsidRPr="00D8749A" w:rsidRDefault="00DC0FE7" w:rsidP="00C12545">
      <w:pPr>
        <w:rPr>
          <w:sz w:val="24"/>
        </w:rPr>
      </w:pPr>
      <w:r>
        <w:rPr>
          <w:sz w:val="24"/>
        </w:rPr>
        <w:t>Concernant le lot 3, la durée d’exécution est d’</w:t>
      </w:r>
      <w:r w:rsidRPr="00D8749A">
        <w:rPr>
          <w:sz w:val="24"/>
        </w:rPr>
        <w:t>un an à partir de la date de décision de la VSR et sera renouvelable trois fois par tacite reconduction par période d’un an à chaque date anniversaire sans que la durée totale n’excède quatre ans.</w:t>
      </w:r>
    </w:p>
    <w:p w14:paraId="17958543" w14:textId="767104E1" w:rsidR="007F369C" w:rsidRDefault="007F369C" w:rsidP="00C12545">
      <w:pPr>
        <w:rPr>
          <w:rFonts w:asciiTheme="majorHAnsi" w:hAnsiTheme="majorHAnsi"/>
          <w:sz w:val="24"/>
        </w:rPr>
      </w:pPr>
    </w:p>
    <w:p w14:paraId="68D519E1" w14:textId="77777777" w:rsidR="00FA351A" w:rsidRPr="00C44970" w:rsidRDefault="00FA351A" w:rsidP="00C12545">
      <w:pPr>
        <w:rPr>
          <w:rFonts w:asciiTheme="majorHAnsi" w:hAnsiTheme="majorHAnsi"/>
          <w:sz w:val="24"/>
        </w:rPr>
      </w:pPr>
    </w:p>
    <w:p w14:paraId="5593A38A" w14:textId="382F4A3A" w:rsidR="003E33CC" w:rsidRPr="00EF723A" w:rsidRDefault="00DC0FE7" w:rsidP="00C12545">
      <w:pPr>
        <w:pStyle w:val="Titre1"/>
        <w:keepNext w:val="0"/>
        <w:numPr>
          <w:ilvl w:val="0"/>
          <w:numId w:val="0"/>
        </w:numPr>
        <w:tabs>
          <w:tab w:val="left" w:pos="567"/>
        </w:tabs>
        <w:spacing w:before="0" w:after="0"/>
        <w:ind w:left="574" w:hanging="432"/>
        <w:rPr>
          <w:rFonts w:asciiTheme="majorHAnsi" w:hAnsiTheme="majorHAnsi"/>
          <w:sz w:val="28"/>
          <w:szCs w:val="28"/>
        </w:rPr>
      </w:pPr>
      <w:r w:rsidRPr="00EF723A">
        <w:rPr>
          <w:rFonts w:asciiTheme="majorHAnsi" w:hAnsiTheme="majorHAnsi"/>
          <w:sz w:val="28"/>
          <w:szCs w:val="28"/>
        </w:rPr>
        <w:t>4</w:t>
      </w:r>
      <w:r w:rsidR="00673D24" w:rsidRPr="00EF723A">
        <w:rPr>
          <w:rFonts w:asciiTheme="majorHAnsi" w:hAnsiTheme="majorHAnsi"/>
          <w:sz w:val="28"/>
          <w:szCs w:val="28"/>
        </w:rPr>
        <w:tab/>
      </w:r>
      <w:r w:rsidR="00673D24" w:rsidRPr="00EF723A">
        <w:rPr>
          <w:rFonts w:asciiTheme="majorHAnsi" w:hAnsiTheme="majorHAnsi"/>
          <w:sz w:val="28"/>
          <w:szCs w:val="28"/>
          <w:u w:val="single"/>
        </w:rPr>
        <w:t>Conditions d’exécution des prestations</w:t>
      </w:r>
    </w:p>
    <w:p w14:paraId="07B9E04A" w14:textId="47E28FCD" w:rsidR="00673D24" w:rsidRPr="00C44970" w:rsidRDefault="00673D24" w:rsidP="00C12545">
      <w:pPr>
        <w:rPr>
          <w:rFonts w:asciiTheme="majorHAnsi" w:hAnsiTheme="majorHAnsi"/>
          <w:sz w:val="24"/>
        </w:rPr>
      </w:pPr>
    </w:p>
    <w:p w14:paraId="00DE2B1D" w14:textId="228C1ADB" w:rsidR="00673D24" w:rsidRPr="00C44970" w:rsidRDefault="00FA351A" w:rsidP="00C12545">
      <w:pPr>
        <w:pStyle w:val="Titre1"/>
        <w:keepNext w:val="0"/>
        <w:numPr>
          <w:ilvl w:val="0"/>
          <w:numId w:val="0"/>
        </w:numPr>
        <w:tabs>
          <w:tab w:val="left" w:pos="567"/>
        </w:tabs>
        <w:spacing w:before="0" w:after="0"/>
        <w:ind w:left="1134"/>
        <w:rPr>
          <w:rFonts w:asciiTheme="majorHAnsi" w:hAnsiTheme="majorHAnsi"/>
          <w:i/>
          <w:sz w:val="24"/>
        </w:rPr>
      </w:pPr>
      <w:bookmarkStart w:id="3" w:name="_Toc191789526"/>
      <w:r>
        <w:rPr>
          <w:rFonts w:asciiTheme="majorHAnsi" w:hAnsiTheme="majorHAnsi"/>
          <w:i/>
          <w:sz w:val="24"/>
        </w:rPr>
        <w:t>4</w:t>
      </w:r>
      <w:r w:rsidR="00673D24" w:rsidRPr="00C44970">
        <w:rPr>
          <w:rFonts w:asciiTheme="majorHAnsi" w:hAnsiTheme="majorHAnsi"/>
          <w:i/>
          <w:sz w:val="24"/>
        </w:rPr>
        <w:t>.1 - Dispositions générales</w:t>
      </w:r>
      <w:bookmarkEnd w:id="3"/>
    </w:p>
    <w:p w14:paraId="18222E9D" w14:textId="6DCEF744" w:rsidR="00426584" w:rsidRPr="00C44970" w:rsidRDefault="003E33CC" w:rsidP="00C12545">
      <w:pPr>
        <w:rPr>
          <w:rFonts w:asciiTheme="majorHAnsi" w:hAnsiTheme="majorHAnsi"/>
          <w:sz w:val="24"/>
        </w:rPr>
      </w:pPr>
      <w:r w:rsidRPr="00C44970">
        <w:rPr>
          <w:rFonts w:asciiTheme="majorHAnsi" w:hAnsiTheme="majorHAnsi"/>
          <w:sz w:val="24"/>
        </w:rPr>
        <w:t xml:space="preserve">Les prestations devront être conformes aux stipulations du marché (les normes et spécifications techniques applicables étant celles en vigueur à la date du marché). </w:t>
      </w:r>
    </w:p>
    <w:p w14:paraId="66ED67A5" w14:textId="3B457505" w:rsidR="00F71B18" w:rsidRPr="00C44970" w:rsidRDefault="00F71B18" w:rsidP="00C12545">
      <w:pPr>
        <w:rPr>
          <w:rFonts w:asciiTheme="majorHAnsi" w:hAnsiTheme="majorHAnsi"/>
          <w:sz w:val="24"/>
        </w:rPr>
      </w:pPr>
      <w:r w:rsidRPr="00C44970">
        <w:rPr>
          <w:rFonts w:asciiTheme="majorHAnsi" w:hAnsiTheme="majorHAnsi"/>
          <w:sz w:val="24"/>
        </w:rPr>
        <w:t xml:space="preserve">Le pouvoir adjudicateur met gratuitement à disposition du titulaire des moyens, sans transferts de propriété à son profit, dans le but de l’exécution du marché. </w:t>
      </w:r>
    </w:p>
    <w:p w14:paraId="3658F1EB" w14:textId="273F2720" w:rsidR="00F71B18" w:rsidRPr="00C44970" w:rsidRDefault="00F71B18" w:rsidP="00C12545">
      <w:pPr>
        <w:rPr>
          <w:rFonts w:asciiTheme="majorHAnsi" w:hAnsiTheme="majorHAnsi"/>
          <w:sz w:val="24"/>
        </w:rPr>
      </w:pPr>
      <w:r w:rsidRPr="00C44970">
        <w:rPr>
          <w:rFonts w:asciiTheme="majorHAnsi" w:hAnsiTheme="majorHAnsi"/>
          <w:sz w:val="24"/>
        </w:rPr>
        <w:t xml:space="preserve">Le titulaire devra impérativement désigner un chef de projet unique qui sera l’interlocuteur chargé du suivi et du bon déroulement de la mission, dans son intégralité. </w:t>
      </w:r>
    </w:p>
    <w:p w14:paraId="011E079C" w14:textId="77777777" w:rsidR="00F71B18" w:rsidRPr="00C44970" w:rsidRDefault="00F71B18" w:rsidP="00C12545">
      <w:pPr>
        <w:rPr>
          <w:rFonts w:asciiTheme="majorHAnsi" w:hAnsiTheme="majorHAnsi"/>
          <w:b/>
          <w:sz w:val="24"/>
          <w:u w:val="single"/>
        </w:rPr>
      </w:pPr>
      <w:r w:rsidRPr="00C44970">
        <w:rPr>
          <w:rFonts w:asciiTheme="majorHAnsi" w:hAnsiTheme="majorHAnsi"/>
          <w:b/>
          <w:sz w:val="24"/>
          <w:u w:val="single"/>
        </w:rPr>
        <w:t>Formation du personnel</w:t>
      </w:r>
    </w:p>
    <w:p w14:paraId="04C815DA" w14:textId="2567839F" w:rsidR="00F71B18" w:rsidRPr="00C44970" w:rsidRDefault="00F71B18" w:rsidP="00C12545">
      <w:pPr>
        <w:rPr>
          <w:rFonts w:asciiTheme="majorHAnsi" w:hAnsiTheme="majorHAnsi"/>
          <w:sz w:val="24"/>
        </w:rPr>
      </w:pPr>
      <w:r w:rsidRPr="00C44970">
        <w:rPr>
          <w:rFonts w:asciiTheme="majorHAnsi" w:hAnsiTheme="majorHAnsi"/>
          <w:sz w:val="24"/>
        </w:rPr>
        <w:t>Le titulaire assurera une for</w:t>
      </w:r>
      <w:r w:rsidR="00283F3A" w:rsidRPr="00C44970">
        <w:rPr>
          <w:rFonts w:asciiTheme="majorHAnsi" w:hAnsiTheme="majorHAnsi"/>
          <w:sz w:val="24"/>
        </w:rPr>
        <w:t xml:space="preserve">mation, sur site et en français. </w:t>
      </w:r>
      <w:r w:rsidR="00A721C5">
        <w:rPr>
          <w:rFonts w:asciiTheme="majorHAnsi" w:hAnsiTheme="majorHAnsi"/>
          <w:sz w:val="24"/>
        </w:rPr>
        <w:t>Celle-ci inclut d’une part la formation initiale mais également le suivi et l’accompagnement des gestionnaires du site autant que de besoin sur une durée maximum de</w:t>
      </w:r>
      <w:r w:rsidR="00535A31">
        <w:rPr>
          <w:rFonts w:asciiTheme="majorHAnsi" w:hAnsiTheme="majorHAnsi"/>
          <w:sz w:val="24"/>
        </w:rPr>
        <w:t xml:space="preserve"> 6 mois </w:t>
      </w:r>
      <w:r w:rsidRPr="00C44970">
        <w:rPr>
          <w:rFonts w:asciiTheme="majorHAnsi" w:hAnsiTheme="majorHAnsi"/>
          <w:sz w:val="24"/>
        </w:rPr>
        <w:t>après la mise en ligne du nouveau site.</w:t>
      </w:r>
    </w:p>
    <w:p w14:paraId="0DA532D8" w14:textId="68511FB3" w:rsidR="00F71B18" w:rsidRDefault="00F71B18" w:rsidP="00C12545">
      <w:pPr>
        <w:rPr>
          <w:rFonts w:asciiTheme="majorHAnsi" w:hAnsiTheme="majorHAnsi"/>
          <w:sz w:val="24"/>
        </w:rPr>
      </w:pPr>
      <w:r w:rsidRPr="00C44970">
        <w:rPr>
          <w:rFonts w:asciiTheme="majorHAnsi" w:hAnsiTheme="majorHAnsi"/>
          <w:sz w:val="24"/>
        </w:rPr>
        <w:t>L'ensemble des coûts directs et indirects de la formation et de l'accompagnement des utilisateurs est intégralement inclus dans l'offre du titulaire et ne pourra en aucun cas donner lieu à facturation supplémentaire.</w:t>
      </w:r>
    </w:p>
    <w:p w14:paraId="0B3A0287" w14:textId="77777777" w:rsidR="00C12545" w:rsidRPr="00C44970" w:rsidRDefault="00C12545" w:rsidP="00C12545">
      <w:pPr>
        <w:rPr>
          <w:rFonts w:asciiTheme="majorHAnsi" w:hAnsiTheme="majorHAnsi"/>
          <w:sz w:val="24"/>
        </w:rPr>
      </w:pPr>
    </w:p>
    <w:p w14:paraId="5107AFFF" w14:textId="6C3035B2" w:rsidR="00FA351A" w:rsidRPr="00A721C5" w:rsidRDefault="00FA351A" w:rsidP="00C12545">
      <w:pPr>
        <w:pStyle w:val="Titre2"/>
        <w:numPr>
          <w:ilvl w:val="0"/>
          <w:numId w:val="0"/>
        </w:numPr>
        <w:spacing w:before="0" w:after="0"/>
        <w:ind w:left="1134"/>
        <w:jc w:val="both"/>
        <w:rPr>
          <w:rFonts w:asciiTheme="majorHAnsi" w:hAnsiTheme="majorHAnsi"/>
          <w:b/>
        </w:rPr>
      </w:pPr>
      <w:r w:rsidRPr="00A721C5">
        <w:rPr>
          <w:rFonts w:asciiTheme="majorHAnsi" w:hAnsiTheme="majorHAnsi"/>
          <w:b/>
        </w:rPr>
        <w:t>4.2 – Dispositions particulières</w:t>
      </w:r>
    </w:p>
    <w:p w14:paraId="5453C7EB" w14:textId="4686A731" w:rsidR="00FA351A" w:rsidRDefault="00257939" w:rsidP="00257939">
      <w:pPr>
        <w:pStyle w:val="Titre2"/>
        <w:numPr>
          <w:ilvl w:val="0"/>
          <w:numId w:val="0"/>
        </w:numPr>
        <w:spacing w:before="0" w:after="0"/>
        <w:jc w:val="both"/>
        <w:rPr>
          <w:rFonts w:asciiTheme="majorHAnsi" w:hAnsiTheme="majorHAnsi"/>
          <w:i w:val="0"/>
        </w:rPr>
      </w:pPr>
      <w:r w:rsidRPr="00A721C5">
        <w:rPr>
          <w:rFonts w:asciiTheme="majorHAnsi" w:hAnsiTheme="majorHAnsi"/>
          <w:i w:val="0"/>
        </w:rPr>
        <w:t>Le titulaire devra accompagner la personne publique dans la définition du projet et la réalisation du cahier des charges</w:t>
      </w:r>
      <w:r w:rsidR="00A721C5" w:rsidRPr="00A721C5">
        <w:rPr>
          <w:rFonts w:asciiTheme="majorHAnsi" w:hAnsiTheme="majorHAnsi"/>
          <w:i w:val="0"/>
        </w:rPr>
        <w:t>. Aussi, p</w:t>
      </w:r>
      <w:r w:rsidR="00A721C5" w:rsidRPr="00A721C5">
        <w:rPr>
          <w:i w:val="0"/>
          <w:iCs/>
        </w:rPr>
        <w:t>our</w:t>
      </w:r>
      <w:r w:rsidR="00A721C5">
        <w:rPr>
          <w:i w:val="0"/>
          <w:iCs/>
        </w:rPr>
        <w:t xml:space="preserve"> favoriser le travail de co-construction avec la communauté IAE et favoriser l'appropriation du futur site, un groupe de travail dédié représentatif d'une dizaine de personnes est mis en place (direction, service formation, service recherche, service informatique enseignants, étudiants, anciens) pour travailler sur des points précis et faire état de l'avancée du projet. Le prestataire aura à participer ponctuellement à ce groupe de travail (entre 3 et 5 réunions) et pourra être amené à l'animer en fonction des sujets abordés. </w:t>
      </w:r>
    </w:p>
    <w:p w14:paraId="4536A510" w14:textId="77777777" w:rsidR="00C12545" w:rsidRPr="00C12545" w:rsidRDefault="00C12545" w:rsidP="00C12545"/>
    <w:p w14:paraId="3A9C2262" w14:textId="531B2B2A" w:rsidR="00CF5452" w:rsidRPr="00C44970" w:rsidRDefault="00FA351A" w:rsidP="00C12545">
      <w:pPr>
        <w:pStyle w:val="Titre2"/>
        <w:numPr>
          <w:ilvl w:val="0"/>
          <w:numId w:val="0"/>
        </w:numPr>
        <w:spacing w:before="0" w:after="0"/>
        <w:ind w:left="1134"/>
        <w:jc w:val="both"/>
        <w:rPr>
          <w:rFonts w:asciiTheme="majorHAnsi" w:hAnsiTheme="majorHAnsi"/>
          <w:b/>
        </w:rPr>
      </w:pPr>
      <w:r>
        <w:rPr>
          <w:rFonts w:asciiTheme="majorHAnsi" w:hAnsiTheme="majorHAnsi"/>
          <w:b/>
        </w:rPr>
        <w:t>4</w:t>
      </w:r>
      <w:r w:rsidR="0098048D" w:rsidRPr="00C44970">
        <w:rPr>
          <w:rFonts w:asciiTheme="majorHAnsi" w:hAnsiTheme="majorHAnsi"/>
          <w:b/>
        </w:rPr>
        <w:t>.</w:t>
      </w:r>
      <w:r>
        <w:rPr>
          <w:rFonts w:asciiTheme="majorHAnsi" w:hAnsiTheme="majorHAnsi"/>
          <w:b/>
        </w:rPr>
        <w:t>3</w:t>
      </w:r>
      <w:r w:rsidR="00CF5452" w:rsidRPr="00C44970">
        <w:rPr>
          <w:rFonts w:asciiTheme="majorHAnsi" w:hAnsiTheme="majorHAnsi"/>
          <w:b/>
        </w:rPr>
        <w:t xml:space="preserve"> –Délais d’exécution des prestations </w:t>
      </w:r>
    </w:p>
    <w:p w14:paraId="7DD6EE27" w14:textId="77777777" w:rsidR="00FA351A" w:rsidRDefault="003E33CC" w:rsidP="00C12545">
      <w:pPr>
        <w:rPr>
          <w:rFonts w:asciiTheme="majorHAnsi" w:hAnsiTheme="majorHAnsi"/>
          <w:sz w:val="24"/>
        </w:rPr>
      </w:pPr>
      <w:r w:rsidRPr="00C44970">
        <w:rPr>
          <w:rFonts w:asciiTheme="majorHAnsi" w:hAnsiTheme="majorHAnsi"/>
          <w:sz w:val="24"/>
        </w:rPr>
        <w:t xml:space="preserve">Conformément </w:t>
      </w:r>
      <w:r w:rsidR="00F71B18" w:rsidRPr="00C44970">
        <w:rPr>
          <w:rFonts w:asciiTheme="majorHAnsi" w:hAnsiTheme="majorHAnsi"/>
          <w:sz w:val="24"/>
        </w:rPr>
        <w:t>aux dispositions de</w:t>
      </w:r>
      <w:r w:rsidRPr="00C44970">
        <w:rPr>
          <w:rFonts w:asciiTheme="majorHAnsi" w:hAnsiTheme="majorHAnsi"/>
          <w:sz w:val="24"/>
        </w:rPr>
        <w:t xml:space="preserve"> </w:t>
      </w:r>
      <w:r w:rsidRPr="00FA351A">
        <w:rPr>
          <w:rFonts w:asciiTheme="majorHAnsi" w:hAnsiTheme="majorHAnsi"/>
          <w:sz w:val="24"/>
        </w:rPr>
        <w:t>l’</w:t>
      </w:r>
      <w:r w:rsidR="00D9371D" w:rsidRPr="00FA351A">
        <w:rPr>
          <w:rFonts w:asciiTheme="majorHAnsi" w:hAnsiTheme="majorHAnsi"/>
          <w:sz w:val="24"/>
        </w:rPr>
        <w:t>article 13.1</w:t>
      </w:r>
      <w:r w:rsidRPr="00FA351A">
        <w:rPr>
          <w:rFonts w:asciiTheme="majorHAnsi" w:hAnsiTheme="majorHAnsi"/>
          <w:sz w:val="24"/>
        </w:rPr>
        <w:t xml:space="preserve"> du CCAG-T</w:t>
      </w:r>
      <w:r w:rsidR="002119E8" w:rsidRPr="00FA351A">
        <w:rPr>
          <w:rFonts w:asciiTheme="majorHAnsi" w:hAnsiTheme="majorHAnsi"/>
          <w:sz w:val="24"/>
        </w:rPr>
        <w:t>.</w:t>
      </w:r>
      <w:r w:rsidRPr="00FA351A">
        <w:rPr>
          <w:rFonts w:asciiTheme="majorHAnsi" w:hAnsiTheme="majorHAnsi"/>
          <w:sz w:val="24"/>
        </w:rPr>
        <w:t>I</w:t>
      </w:r>
      <w:r w:rsidR="002119E8" w:rsidRPr="00FA351A">
        <w:rPr>
          <w:rFonts w:asciiTheme="majorHAnsi" w:hAnsiTheme="majorHAnsi"/>
          <w:sz w:val="24"/>
        </w:rPr>
        <w:t>.</w:t>
      </w:r>
      <w:r w:rsidRPr="00FA351A">
        <w:rPr>
          <w:rFonts w:asciiTheme="majorHAnsi" w:hAnsiTheme="majorHAnsi"/>
          <w:sz w:val="24"/>
        </w:rPr>
        <w:t>C</w:t>
      </w:r>
      <w:r w:rsidRPr="00C44970">
        <w:rPr>
          <w:rFonts w:asciiTheme="majorHAnsi" w:hAnsiTheme="majorHAnsi"/>
          <w:sz w:val="24"/>
        </w:rPr>
        <w:t>, le délai d’exécution du marché part de la date d</w:t>
      </w:r>
      <w:r w:rsidR="002119E8" w:rsidRPr="00C44970">
        <w:rPr>
          <w:rFonts w:asciiTheme="majorHAnsi" w:hAnsiTheme="majorHAnsi"/>
          <w:sz w:val="24"/>
        </w:rPr>
        <w:t>e</w:t>
      </w:r>
      <w:r w:rsidRPr="00C44970">
        <w:rPr>
          <w:rFonts w:asciiTheme="majorHAnsi" w:hAnsiTheme="majorHAnsi"/>
          <w:sz w:val="24"/>
        </w:rPr>
        <w:t xml:space="preserve"> sa notification. </w:t>
      </w:r>
    </w:p>
    <w:p w14:paraId="2C8887D1" w14:textId="5507A358" w:rsidR="003E33CC" w:rsidRPr="00C44970" w:rsidRDefault="00FA351A" w:rsidP="00C12545">
      <w:pPr>
        <w:rPr>
          <w:rFonts w:asciiTheme="majorHAnsi" w:hAnsiTheme="majorHAnsi"/>
          <w:sz w:val="24"/>
        </w:rPr>
      </w:pPr>
      <w:r>
        <w:rPr>
          <w:rFonts w:asciiTheme="majorHAnsi" w:hAnsiTheme="majorHAnsi"/>
          <w:sz w:val="24"/>
        </w:rPr>
        <w:t>L</w:t>
      </w:r>
      <w:r w:rsidR="00F71B18" w:rsidRPr="00C44970">
        <w:rPr>
          <w:rFonts w:asciiTheme="majorHAnsi" w:hAnsiTheme="majorHAnsi"/>
          <w:sz w:val="24"/>
        </w:rPr>
        <w:t xml:space="preserve">e titulaire s’engage </w:t>
      </w:r>
      <w:r>
        <w:rPr>
          <w:rFonts w:asciiTheme="majorHAnsi" w:hAnsiTheme="majorHAnsi"/>
          <w:sz w:val="24"/>
        </w:rPr>
        <w:t>à respecter le calendrier du projet</w:t>
      </w:r>
      <w:r w:rsidR="003E59A9">
        <w:rPr>
          <w:rFonts w:asciiTheme="majorHAnsi" w:hAnsiTheme="majorHAnsi"/>
          <w:sz w:val="24"/>
        </w:rPr>
        <w:t>.</w:t>
      </w:r>
    </w:p>
    <w:p w14:paraId="563FA138" w14:textId="6AD04345" w:rsidR="003E33CC" w:rsidRPr="003E59A9" w:rsidRDefault="00F71B18" w:rsidP="00C12545">
      <w:pPr>
        <w:rPr>
          <w:rFonts w:asciiTheme="majorHAnsi" w:hAnsiTheme="majorHAnsi"/>
          <w:sz w:val="24"/>
        </w:rPr>
      </w:pPr>
      <w:r w:rsidRPr="00C44970">
        <w:rPr>
          <w:rFonts w:asciiTheme="majorHAnsi" w:hAnsiTheme="majorHAnsi"/>
          <w:sz w:val="24"/>
        </w:rPr>
        <w:lastRenderedPageBreak/>
        <w:t xml:space="preserve">En cas de retard d’exécution, des pénalités pour retard pourront être appliquées au titulaire, sans autre formalité, conformément aux stipulation de </w:t>
      </w:r>
      <w:r w:rsidRPr="009F3B9A">
        <w:rPr>
          <w:rFonts w:asciiTheme="majorHAnsi" w:hAnsiTheme="majorHAnsi"/>
          <w:sz w:val="24"/>
        </w:rPr>
        <w:t xml:space="preserve">l’article </w:t>
      </w:r>
      <w:r w:rsidR="002736FF" w:rsidRPr="009F3B9A">
        <w:rPr>
          <w:rFonts w:asciiTheme="majorHAnsi" w:hAnsiTheme="majorHAnsi"/>
          <w:sz w:val="24"/>
        </w:rPr>
        <w:t>1</w:t>
      </w:r>
      <w:r w:rsidR="009F3B9A">
        <w:rPr>
          <w:rFonts w:asciiTheme="majorHAnsi" w:hAnsiTheme="majorHAnsi"/>
          <w:sz w:val="24"/>
        </w:rPr>
        <w:t>2</w:t>
      </w:r>
      <w:r w:rsidRPr="009F3B9A">
        <w:rPr>
          <w:rFonts w:asciiTheme="majorHAnsi" w:hAnsiTheme="majorHAnsi"/>
          <w:sz w:val="24"/>
        </w:rPr>
        <w:t xml:space="preserve"> </w:t>
      </w:r>
      <w:r w:rsidRPr="003E59A9">
        <w:rPr>
          <w:rFonts w:asciiTheme="majorHAnsi" w:hAnsiTheme="majorHAnsi"/>
          <w:sz w:val="24"/>
        </w:rPr>
        <w:t xml:space="preserve">du présent CCP. </w:t>
      </w:r>
    </w:p>
    <w:p w14:paraId="7276AAF1" w14:textId="3A06F16D" w:rsidR="00603F9F" w:rsidRPr="00C44970" w:rsidRDefault="00C14E40" w:rsidP="00C12545">
      <w:pPr>
        <w:rPr>
          <w:rFonts w:asciiTheme="majorHAnsi" w:hAnsiTheme="majorHAnsi"/>
          <w:sz w:val="24"/>
        </w:rPr>
      </w:pPr>
      <w:r w:rsidRPr="00C44970">
        <w:rPr>
          <w:rFonts w:asciiTheme="majorHAnsi" w:hAnsiTheme="majorHAnsi"/>
          <w:sz w:val="24"/>
        </w:rPr>
        <w:t xml:space="preserve">En ce qui concerne les prestations du LOT </w:t>
      </w:r>
      <w:r w:rsidR="00535A31">
        <w:rPr>
          <w:rFonts w:asciiTheme="majorHAnsi" w:hAnsiTheme="majorHAnsi"/>
          <w:sz w:val="24"/>
        </w:rPr>
        <w:t>3</w:t>
      </w:r>
      <w:r w:rsidRPr="00C44970">
        <w:rPr>
          <w:rFonts w:asciiTheme="majorHAnsi" w:hAnsiTheme="majorHAnsi"/>
          <w:sz w:val="24"/>
        </w:rPr>
        <w:t xml:space="preserve"> – MAINTENANCE, en cas de refus d’accéder à la demande du pouvoir adjudicateur, ce dernier se réserve le droit de faire intervenir un autre prestataire.</w:t>
      </w:r>
    </w:p>
    <w:p w14:paraId="27027908" w14:textId="372FE122" w:rsidR="00EF723A" w:rsidRDefault="00EF723A" w:rsidP="00C12545">
      <w:pPr>
        <w:rPr>
          <w:rFonts w:asciiTheme="majorHAnsi" w:hAnsiTheme="majorHAnsi"/>
          <w:sz w:val="24"/>
        </w:rPr>
      </w:pPr>
    </w:p>
    <w:p w14:paraId="1BF8AF8F" w14:textId="77777777" w:rsidR="006E78C1" w:rsidRDefault="006E78C1" w:rsidP="00C12545">
      <w:pPr>
        <w:rPr>
          <w:rFonts w:asciiTheme="majorHAnsi" w:hAnsiTheme="majorHAnsi"/>
          <w:sz w:val="24"/>
        </w:rPr>
      </w:pPr>
    </w:p>
    <w:p w14:paraId="5909A93E" w14:textId="44443BCC" w:rsidR="00673D24" w:rsidRDefault="003E59A9" w:rsidP="00C12545">
      <w:pPr>
        <w:pStyle w:val="Titre1"/>
        <w:keepNext w:val="0"/>
        <w:numPr>
          <w:ilvl w:val="0"/>
          <w:numId w:val="0"/>
        </w:numPr>
        <w:tabs>
          <w:tab w:val="left" w:pos="567"/>
        </w:tabs>
        <w:spacing w:before="0" w:after="0"/>
        <w:ind w:left="574" w:hanging="432"/>
        <w:rPr>
          <w:rFonts w:asciiTheme="majorHAnsi" w:hAnsiTheme="majorHAnsi"/>
          <w:sz w:val="28"/>
          <w:szCs w:val="28"/>
          <w:u w:val="single"/>
        </w:rPr>
      </w:pPr>
      <w:r w:rsidRPr="00EF723A">
        <w:rPr>
          <w:rFonts w:asciiTheme="majorHAnsi" w:hAnsiTheme="majorHAnsi"/>
          <w:sz w:val="28"/>
          <w:szCs w:val="28"/>
        </w:rPr>
        <w:t>5</w:t>
      </w:r>
      <w:r w:rsidR="008B09C7" w:rsidRPr="00EF723A">
        <w:rPr>
          <w:rFonts w:asciiTheme="majorHAnsi" w:hAnsiTheme="majorHAnsi"/>
          <w:sz w:val="28"/>
          <w:szCs w:val="28"/>
        </w:rPr>
        <w:tab/>
      </w:r>
      <w:r w:rsidR="00673D24" w:rsidRPr="00EF723A">
        <w:rPr>
          <w:rFonts w:asciiTheme="majorHAnsi" w:hAnsiTheme="majorHAnsi"/>
          <w:sz w:val="28"/>
          <w:szCs w:val="28"/>
        </w:rPr>
        <w:t xml:space="preserve"> </w:t>
      </w:r>
      <w:bookmarkStart w:id="4" w:name="_Toc191789530"/>
      <w:r w:rsidR="00673D24" w:rsidRPr="00EF723A">
        <w:rPr>
          <w:rFonts w:asciiTheme="majorHAnsi" w:hAnsiTheme="majorHAnsi"/>
          <w:sz w:val="28"/>
          <w:szCs w:val="28"/>
          <w:u w:val="single"/>
        </w:rPr>
        <w:t>Vérifications et admission</w:t>
      </w:r>
      <w:bookmarkEnd w:id="4"/>
    </w:p>
    <w:p w14:paraId="08B6EA76" w14:textId="77777777" w:rsidR="00C12545" w:rsidRPr="00C12545" w:rsidRDefault="00C12545" w:rsidP="00C12545"/>
    <w:p w14:paraId="62AE9C3E" w14:textId="343FF4D8" w:rsidR="00673D24" w:rsidRPr="00C44970" w:rsidRDefault="003E59A9" w:rsidP="00C12545">
      <w:pPr>
        <w:pStyle w:val="Titre2"/>
        <w:numPr>
          <w:ilvl w:val="0"/>
          <w:numId w:val="0"/>
        </w:numPr>
        <w:spacing w:before="0" w:after="0"/>
        <w:ind w:left="1134"/>
        <w:jc w:val="both"/>
        <w:rPr>
          <w:rFonts w:asciiTheme="majorHAnsi" w:hAnsiTheme="majorHAnsi"/>
          <w:b/>
          <w:noProof/>
        </w:rPr>
      </w:pPr>
      <w:bookmarkStart w:id="5" w:name="_Toc191789531"/>
      <w:r>
        <w:rPr>
          <w:rFonts w:asciiTheme="majorHAnsi" w:hAnsiTheme="majorHAnsi"/>
          <w:b/>
          <w:noProof/>
        </w:rPr>
        <w:t>5</w:t>
      </w:r>
      <w:r w:rsidR="00673D24" w:rsidRPr="00C44970">
        <w:rPr>
          <w:rFonts w:asciiTheme="majorHAnsi" w:hAnsiTheme="majorHAnsi"/>
          <w:b/>
          <w:noProof/>
        </w:rPr>
        <w:t>.1 - Opérations de vérification</w:t>
      </w:r>
      <w:bookmarkEnd w:id="5"/>
    </w:p>
    <w:p w14:paraId="3C017E8F" w14:textId="77777777" w:rsidR="007827A8" w:rsidRPr="00C44970" w:rsidRDefault="007827A8" w:rsidP="00C12545">
      <w:pPr>
        <w:rPr>
          <w:rFonts w:asciiTheme="majorHAnsi" w:hAnsiTheme="majorHAnsi"/>
          <w:sz w:val="24"/>
        </w:rPr>
      </w:pPr>
      <w:r w:rsidRPr="00C44970">
        <w:rPr>
          <w:rFonts w:asciiTheme="majorHAnsi" w:hAnsiTheme="majorHAnsi"/>
          <w:sz w:val="24"/>
        </w:rPr>
        <w:t xml:space="preserve">Conformément aux dispositions de </w:t>
      </w:r>
      <w:r w:rsidRPr="003E59A9">
        <w:rPr>
          <w:rFonts w:asciiTheme="majorHAnsi" w:hAnsiTheme="majorHAnsi"/>
          <w:sz w:val="24"/>
        </w:rPr>
        <w:t>l’article 26.1 du CCAG-TIC</w:t>
      </w:r>
      <w:r w:rsidRPr="00C44970">
        <w:rPr>
          <w:rFonts w:asciiTheme="majorHAnsi" w:hAnsiTheme="majorHAnsi"/>
          <w:sz w:val="24"/>
        </w:rPr>
        <w:t> : l</w:t>
      </w:r>
      <w:r w:rsidR="0000443C" w:rsidRPr="00C44970">
        <w:rPr>
          <w:rFonts w:asciiTheme="majorHAnsi" w:hAnsiTheme="majorHAnsi"/>
          <w:sz w:val="24"/>
        </w:rPr>
        <w:t>es opérations de vérification ont pour objet de permettre au pouvoir adjudicateur de contrôler notamment que le titulaire</w:t>
      </w:r>
      <w:r w:rsidRPr="00C44970">
        <w:rPr>
          <w:rFonts w:asciiTheme="majorHAnsi" w:hAnsiTheme="majorHAnsi"/>
          <w:sz w:val="24"/>
        </w:rPr>
        <w:t xml:space="preserve"> : </w:t>
      </w:r>
    </w:p>
    <w:p w14:paraId="564D9B67" w14:textId="468D55A7" w:rsidR="007827A8" w:rsidRPr="00C44970" w:rsidRDefault="007827A8" w:rsidP="00C12545">
      <w:pPr>
        <w:pStyle w:val="Paragraphedeliste"/>
        <w:numPr>
          <w:ilvl w:val="0"/>
          <w:numId w:val="30"/>
        </w:numPr>
        <w:rPr>
          <w:rFonts w:asciiTheme="majorHAnsi" w:hAnsiTheme="majorHAnsi"/>
          <w:sz w:val="24"/>
        </w:rPr>
      </w:pPr>
      <w:r w:rsidRPr="00C44970">
        <w:rPr>
          <w:rFonts w:asciiTheme="majorHAnsi" w:hAnsiTheme="majorHAnsi"/>
          <w:sz w:val="24"/>
        </w:rPr>
        <w:t>A</w:t>
      </w:r>
      <w:r w:rsidR="0000443C" w:rsidRPr="00C44970">
        <w:rPr>
          <w:rFonts w:asciiTheme="majorHAnsi" w:hAnsiTheme="majorHAnsi"/>
          <w:sz w:val="24"/>
        </w:rPr>
        <w:t xml:space="preserve"> bien mis en œuvre les moyens définis dans le marché, conformé</w:t>
      </w:r>
      <w:r w:rsidRPr="00C44970">
        <w:rPr>
          <w:rFonts w:asciiTheme="majorHAnsi" w:hAnsiTheme="majorHAnsi"/>
          <w:sz w:val="24"/>
        </w:rPr>
        <w:t>ment aux prescriptions fixées ;</w:t>
      </w:r>
    </w:p>
    <w:p w14:paraId="40EC4CC6" w14:textId="3C6D6096" w:rsidR="00F71B18" w:rsidRPr="00C44970" w:rsidRDefault="0000443C" w:rsidP="00C12545">
      <w:pPr>
        <w:pStyle w:val="Paragraphedeliste"/>
        <w:numPr>
          <w:ilvl w:val="0"/>
          <w:numId w:val="30"/>
        </w:numPr>
        <w:rPr>
          <w:rFonts w:asciiTheme="majorHAnsi" w:hAnsiTheme="majorHAnsi"/>
          <w:sz w:val="24"/>
        </w:rPr>
      </w:pPr>
      <w:r w:rsidRPr="00C44970">
        <w:rPr>
          <w:rFonts w:asciiTheme="majorHAnsi" w:hAnsiTheme="majorHAnsi"/>
          <w:sz w:val="24"/>
        </w:rPr>
        <w:t xml:space="preserve"> </w:t>
      </w:r>
      <w:r w:rsidR="007827A8" w:rsidRPr="00C44970">
        <w:rPr>
          <w:rFonts w:asciiTheme="majorHAnsi" w:hAnsiTheme="majorHAnsi"/>
          <w:sz w:val="24"/>
        </w:rPr>
        <w:t>A</w:t>
      </w:r>
      <w:r w:rsidRPr="00C44970">
        <w:rPr>
          <w:rFonts w:asciiTheme="majorHAnsi" w:hAnsiTheme="majorHAnsi"/>
          <w:sz w:val="24"/>
        </w:rPr>
        <w:t xml:space="preserve"> bien réalisé les prestations définies dans le marché comme étant à sa charge. </w:t>
      </w:r>
    </w:p>
    <w:p w14:paraId="0730D2F5" w14:textId="639E57E8" w:rsidR="00283F3A" w:rsidRDefault="007827A8" w:rsidP="00C12545">
      <w:pPr>
        <w:rPr>
          <w:rFonts w:asciiTheme="majorHAnsi" w:hAnsiTheme="majorHAnsi"/>
          <w:sz w:val="24"/>
        </w:rPr>
      </w:pPr>
      <w:r w:rsidRPr="00C44970">
        <w:rPr>
          <w:rFonts w:asciiTheme="majorHAnsi" w:hAnsiTheme="majorHAnsi"/>
          <w:sz w:val="24"/>
        </w:rPr>
        <w:t xml:space="preserve">Ces opérations de vérification comportent deux étapes : la vérification d’aptitude et la vérification de service régulier. </w:t>
      </w:r>
    </w:p>
    <w:p w14:paraId="61169B93" w14:textId="56266B18" w:rsidR="007827A8" w:rsidRPr="00C44970" w:rsidRDefault="003E59A9" w:rsidP="00C12545">
      <w:pPr>
        <w:ind w:firstLine="1701"/>
        <w:rPr>
          <w:rFonts w:asciiTheme="majorHAnsi" w:hAnsiTheme="majorHAnsi"/>
          <w:b/>
          <w:i/>
          <w:sz w:val="24"/>
        </w:rPr>
      </w:pPr>
      <w:r>
        <w:rPr>
          <w:rFonts w:asciiTheme="majorHAnsi" w:hAnsiTheme="majorHAnsi"/>
          <w:b/>
          <w:i/>
          <w:sz w:val="24"/>
        </w:rPr>
        <w:t>5</w:t>
      </w:r>
      <w:r w:rsidR="007827A8" w:rsidRPr="00C44970">
        <w:rPr>
          <w:rFonts w:asciiTheme="majorHAnsi" w:hAnsiTheme="majorHAnsi"/>
          <w:b/>
          <w:i/>
          <w:sz w:val="24"/>
        </w:rPr>
        <w:t xml:space="preserve">.1.1 – La vérification d’aptitude </w:t>
      </w:r>
      <w:r w:rsidR="00CB27AE">
        <w:rPr>
          <w:rFonts w:asciiTheme="majorHAnsi" w:hAnsiTheme="majorHAnsi"/>
          <w:b/>
          <w:i/>
          <w:sz w:val="24"/>
        </w:rPr>
        <w:t>(VA)</w:t>
      </w:r>
    </w:p>
    <w:p w14:paraId="6C0C83E3" w14:textId="65AA770F" w:rsidR="007827A8" w:rsidRPr="00C44970" w:rsidRDefault="007827A8" w:rsidP="00C12545">
      <w:pPr>
        <w:rPr>
          <w:rFonts w:asciiTheme="majorHAnsi" w:hAnsiTheme="majorHAnsi"/>
          <w:sz w:val="24"/>
        </w:rPr>
      </w:pPr>
      <w:r w:rsidRPr="00C44970">
        <w:rPr>
          <w:rFonts w:asciiTheme="majorHAnsi" w:hAnsiTheme="majorHAnsi"/>
          <w:sz w:val="24"/>
        </w:rPr>
        <w:t xml:space="preserve">La vérification d'aptitude intervient après la mise en ordre de marche. Elle a pour objet de constater que les prestations, livrées ou exécutées, présentent les caractéristiques techniques qui les rendent aptes à remplir les fonctions précisées dans le cahier des charges. </w:t>
      </w:r>
    </w:p>
    <w:p w14:paraId="394D9609" w14:textId="0E3962ED" w:rsidR="007827A8" w:rsidRPr="00C44970" w:rsidRDefault="007827A8" w:rsidP="00C12545">
      <w:pPr>
        <w:rPr>
          <w:rFonts w:asciiTheme="majorHAnsi" w:hAnsiTheme="majorHAnsi"/>
          <w:sz w:val="24"/>
        </w:rPr>
      </w:pPr>
      <w:r w:rsidRPr="00C44970">
        <w:rPr>
          <w:rFonts w:asciiTheme="majorHAnsi" w:hAnsiTheme="majorHAnsi"/>
          <w:sz w:val="24"/>
        </w:rPr>
        <w:t xml:space="preserve">Le pouvoir adjudicateur dispose d’un délai d’un </w:t>
      </w:r>
      <w:r w:rsidR="00535A31">
        <w:rPr>
          <w:rFonts w:asciiTheme="majorHAnsi" w:hAnsiTheme="majorHAnsi"/>
          <w:sz w:val="24"/>
        </w:rPr>
        <w:t>semaine</w:t>
      </w:r>
      <w:r w:rsidRPr="00C44970">
        <w:rPr>
          <w:rFonts w:asciiTheme="majorHAnsi" w:hAnsiTheme="majorHAnsi"/>
          <w:sz w:val="24"/>
        </w:rPr>
        <w:t xml:space="preserve"> pour procéder à cette vérification, à compter de la notification du procès-verbal de mise en ordre de marche.  </w:t>
      </w:r>
    </w:p>
    <w:p w14:paraId="44236F0A" w14:textId="01DE9920" w:rsidR="007827A8" w:rsidRPr="00C44970" w:rsidRDefault="007827A8" w:rsidP="00C12545">
      <w:pPr>
        <w:rPr>
          <w:rFonts w:asciiTheme="majorHAnsi" w:hAnsiTheme="majorHAnsi"/>
          <w:sz w:val="24"/>
        </w:rPr>
      </w:pPr>
      <w:r w:rsidRPr="00542CCC">
        <w:rPr>
          <w:rFonts w:asciiTheme="majorHAnsi" w:hAnsiTheme="majorHAnsi"/>
          <w:sz w:val="24"/>
        </w:rPr>
        <w:t>Si la décision de vérification d'aptitude est positive, la vérification de service régulier débute.</w:t>
      </w:r>
    </w:p>
    <w:p w14:paraId="3B88F806" w14:textId="3AC9BC52" w:rsidR="007827A8" w:rsidRPr="00C44970" w:rsidRDefault="003E59A9" w:rsidP="00C12545">
      <w:pPr>
        <w:ind w:firstLine="1701"/>
        <w:rPr>
          <w:rFonts w:asciiTheme="majorHAnsi" w:hAnsiTheme="majorHAnsi"/>
          <w:b/>
          <w:i/>
          <w:sz w:val="24"/>
        </w:rPr>
      </w:pPr>
      <w:r>
        <w:rPr>
          <w:rFonts w:asciiTheme="majorHAnsi" w:hAnsiTheme="majorHAnsi"/>
          <w:b/>
          <w:i/>
          <w:sz w:val="24"/>
        </w:rPr>
        <w:t>5</w:t>
      </w:r>
      <w:r w:rsidR="007827A8" w:rsidRPr="00C44970">
        <w:rPr>
          <w:rFonts w:asciiTheme="majorHAnsi" w:hAnsiTheme="majorHAnsi"/>
          <w:b/>
          <w:i/>
          <w:sz w:val="24"/>
        </w:rPr>
        <w:t>.1.2 – La vérification de service régulier (VSR)</w:t>
      </w:r>
    </w:p>
    <w:p w14:paraId="0AA98BA0" w14:textId="6744F985" w:rsidR="007827A8" w:rsidRPr="00C44970" w:rsidRDefault="007827A8" w:rsidP="00C12545">
      <w:pPr>
        <w:rPr>
          <w:rFonts w:asciiTheme="majorHAnsi" w:hAnsiTheme="majorHAnsi"/>
          <w:sz w:val="24"/>
        </w:rPr>
      </w:pPr>
      <w:r w:rsidRPr="00C44970">
        <w:rPr>
          <w:rFonts w:asciiTheme="majorHAnsi" w:hAnsiTheme="majorHAnsi"/>
          <w:sz w:val="24"/>
        </w:rPr>
        <w:t>La vérification de service régulier a pour objet de constater que les prestations fournies sont capables d'assurer un service régulier dans les conditions normales d'exploitation prévues dans les documents particuliers du marché.</w:t>
      </w:r>
    </w:p>
    <w:p w14:paraId="255E1F7E" w14:textId="18371903" w:rsidR="007827A8" w:rsidRPr="00C44970" w:rsidRDefault="007827A8" w:rsidP="00C12545">
      <w:pPr>
        <w:shd w:val="clear" w:color="auto" w:fill="FFFFFF" w:themeFill="background1"/>
        <w:rPr>
          <w:rFonts w:asciiTheme="majorHAnsi" w:hAnsiTheme="majorHAnsi"/>
          <w:sz w:val="24"/>
        </w:rPr>
      </w:pPr>
      <w:r w:rsidRPr="00542CCC">
        <w:rPr>
          <w:rFonts w:asciiTheme="majorHAnsi" w:hAnsiTheme="majorHAnsi"/>
          <w:sz w:val="24"/>
        </w:rPr>
        <w:t>La régularité du service s'observe pendant un mois, à partir du jour de la décision positive de</w:t>
      </w:r>
      <w:r w:rsidRPr="00C44970">
        <w:rPr>
          <w:rFonts w:asciiTheme="majorHAnsi" w:hAnsiTheme="majorHAnsi"/>
          <w:sz w:val="24"/>
        </w:rPr>
        <w:t xml:space="preserve"> vérification d'aptitude prise par le pouvoir adjudicateur.</w:t>
      </w:r>
    </w:p>
    <w:p w14:paraId="26EAD840" w14:textId="1DDC0B5E" w:rsidR="007827A8" w:rsidRPr="00C44970" w:rsidRDefault="007827A8" w:rsidP="00C12545">
      <w:pPr>
        <w:shd w:val="clear" w:color="auto" w:fill="FFFFFF" w:themeFill="background1"/>
        <w:rPr>
          <w:rFonts w:asciiTheme="majorHAnsi" w:hAnsiTheme="majorHAnsi"/>
          <w:sz w:val="24"/>
        </w:rPr>
      </w:pPr>
      <w:r w:rsidRPr="00C44970">
        <w:rPr>
          <w:rFonts w:asciiTheme="majorHAnsi" w:hAnsiTheme="majorHAnsi"/>
          <w:sz w:val="24"/>
        </w:rPr>
        <w:t xml:space="preserve">Le service est réputé régulier </w:t>
      </w:r>
      <w:r w:rsidRPr="00542CCC">
        <w:rPr>
          <w:rFonts w:asciiTheme="majorHAnsi" w:hAnsiTheme="majorHAnsi"/>
          <w:sz w:val="24"/>
        </w:rPr>
        <w:t xml:space="preserve">si </w:t>
      </w:r>
      <w:r w:rsidRPr="00535A31">
        <w:rPr>
          <w:rFonts w:asciiTheme="majorHAnsi" w:hAnsiTheme="majorHAnsi"/>
          <w:sz w:val="24"/>
        </w:rPr>
        <w:t>la durée cumulée, sur le mois</w:t>
      </w:r>
      <w:r w:rsidRPr="00C44970">
        <w:rPr>
          <w:rFonts w:asciiTheme="majorHAnsi" w:hAnsiTheme="majorHAnsi"/>
          <w:sz w:val="24"/>
        </w:rPr>
        <w:t>, des indisponibilités imputables à chaque élément de matériel ne dépasse pas 2 % de la durée d'utilisation effective qui s'étend de 8 heures à 18 heures, du lundi au vendredi, jours fériés exclus.</w:t>
      </w:r>
    </w:p>
    <w:p w14:paraId="730366AC" w14:textId="77777777" w:rsidR="00C12545" w:rsidRDefault="00C12545" w:rsidP="00C12545">
      <w:pPr>
        <w:pStyle w:val="Titre2"/>
        <w:numPr>
          <w:ilvl w:val="0"/>
          <w:numId w:val="0"/>
        </w:numPr>
        <w:spacing w:before="0" w:after="0"/>
        <w:ind w:left="1134"/>
        <w:jc w:val="both"/>
        <w:rPr>
          <w:rFonts w:asciiTheme="majorHAnsi" w:hAnsiTheme="majorHAnsi"/>
          <w:b/>
          <w:noProof/>
        </w:rPr>
      </w:pPr>
      <w:bookmarkStart w:id="6" w:name="_Toc191789532"/>
    </w:p>
    <w:p w14:paraId="604AF7AF" w14:textId="0ED0957C" w:rsidR="00673D24" w:rsidRPr="00C44970" w:rsidRDefault="003E59A9" w:rsidP="00C12545">
      <w:pPr>
        <w:pStyle w:val="Titre2"/>
        <w:numPr>
          <w:ilvl w:val="0"/>
          <w:numId w:val="0"/>
        </w:numPr>
        <w:spacing w:before="0" w:after="0"/>
        <w:ind w:left="1134"/>
        <w:jc w:val="both"/>
        <w:rPr>
          <w:rFonts w:asciiTheme="majorHAnsi" w:hAnsiTheme="majorHAnsi"/>
          <w:b/>
          <w:noProof/>
        </w:rPr>
      </w:pPr>
      <w:r>
        <w:rPr>
          <w:rFonts w:asciiTheme="majorHAnsi" w:hAnsiTheme="majorHAnsi"/>
          <w:b/>
          <w:noProof/>
        </w:rPr>
        <w:t>5</w:t>
      </w:r>
      <w:r w:rsidR="00673D24" w:rsidRPr="00C44970">
        <w:rPr>
          <w:rFonts w:asciiTheme="majorHAnsi" w:hAnsiTheme="majorHAnsi"/>
          <w:b/>
          <w:noProof/>
        </w:rPr>
        <w:t>.2 - Admission</w:t>
      </w:r>
      <w:bookmarkEnd w:id="6"/>
    </w:p>
    <w:p w14:paraId="27C81F1B" w14:textId="4A141C73" w:rsidR="008B09C7" w:rsidRDefault="000F3448" w:rsidP="00C12545">
      <w:pPr>
        <w:autoSpaceDE w:val="0"/>
        <w:autoSpaceDN w:val="0"/>
        <w:adjustRightInd w:val="0"/>
        <w:rPr>
          <w:rFonts w:asciiTheme="majorHAnsi" w:hAnsiTheme="majorHAnsi"/>
          <w:sz w:val="24"/>
        </w:rPr>
      </w:pPr>
      <w:r w:rsidRPr="00C44970">
        <w:rPr>
          <w:rFonts w:asciiTheme="majorHAnsi" w:hAnsiTheme="majorHAnsi"/>
          <w:sz w:val="24"/>
        </w:rPr>
        <w:t xml:space="preserve">A l’issue des opérations de vérification, le pouvoir adjudicateur prendra sa décision dans </w:t>
      </w:r>
      <w:r w:rsidRPr="003E59A9">
        <w:rPr>
          <w:rFonts w:asciiTheme="majorHAnsi" w:hAnsiTheme="majorHAnsi"/>
          <w:sz w:val="24"/>
        </w:rPr>
        <w:t>les conditions prévues aux articles 27 et 28 du C.C.A.G.-T.I.C.</w:t>
      </w:r>
      <w:bookmarkStart w:id="7" w:name="_Toc191789533"/>
    </w:p>
    <w:p w14:paraId="00944105" w14:textId="79E8C281" w:rsidR="00C12545" w:rsidRDefault="00C12545" w:rsidP="00C12545">
      <w:pPr>
        <w:autoSpaceDE w:val="0"/>
        <w:autoSpaceDN w:val="0"/>
        <w:adjustRightInd w:val="0"/>
        <w:rPr>
          <w:rFonts w:asciiTheme="majorHAnsi" w:hAnsiTheme="majorHAnsi"/>
          <w:sz w:val="24"/>
        </w:rPr>
      </w:pPr>
    </w:p>
    <w:p w14:paraId="717ACCE4" w14:textId="77777777" w:rsidR="00C12545" w:rsidRPr="003E59A9" w:rsidRDefault="00C12545" w:rsidP="00C12545">
      <w:pPr>
        <w:autoSpaceDE w:val="0"/>
        <w:autoSpaceDN w:val="0"/>
        <w:adjustRightInd w:val="0"/>
        <w:rPr>
          <w:rFonts w:asciiTheme="majorHAnsi" w:hAnsiTheme="majorHAnsi"/>
          <w:sz w:val="24"/>
        </w:rPr>
      </w:pPr>
    </w:p>
    <w:bookmarkEnd w:id="7"/>
    <w:p w14:paraId="1CBF8C22" w14:textId="2E766EFD" w:rsidR="00384EB2" w:rsidRPr="00535A31" w:rsidRDefault="00EF723A" w:rsidP="00C12545">
      <w:pPr>
        <w:pStyle w:val="Titre1"/>
        <w:numPr>
          <w:ilvl w:val="0"/>
          <w:numId w:val="0"/>
        </w:numPr>
        <w:spacing w:before="0" w:after="0"/>
        <w:ind w:left="567" w:hanging="425"/>
        <w:rPr>
          <w:rFonts w:asciiTheme="majorHAnsi" w:hAnsiTheme="majorHAnsi"/>
          <w:sz w:val="28"/>
          <w:szCs w:val="28"/>
        </w:rPr>
      </w:pPr>
      <w:r w:rsidRPr="00535A31">
        <w:rPr>
          <w:rFonts w:asciiTheme="majorHAnsi" w:hAnsiTheme="majorHAnsi"/>
          <w:sz w:val="28"/>
          <w:szCs w:val="28"/>
        </w:rPr>
        <w:t>6</w:t>
      </w:r>
      <w:r w:rsidR="00384EB2" w:rsidRPr="00535A31">
        <w:rPr>
          <w:rFonts w:asciiTheme="majorHAnsi" w:hAnsiTheme="majorHAnsi"/>
          <w:sz w:val="28"/>
          <w:szCs w:val="28"/>
        </w:rPr>
        <w:tab/>
      </w:r>
      <w:r w:rsidR="00384EB2" w:rsidRPr="00535A31">
        <w:rPr>
          <w:rFonts w:asciiTheme="majorHAnsi" w:hAnsiTheme="majorHAnsi"/>
          <w:sz w:val="28"/>
          <w:szCs w:val="28"/>
          <w:u w:val="single"/>
        </w:rPr>
        <w:t xml:space="preserve">Droit de propriété industrielle et intellectuelle </w:t>
      </w:r>
    </w:p>
    <w:p w14:paraId="14685DBA" w14:textId="00CDD6B0" w:rsidR="00384EB2" w:rsidRPr="00535A31" w:rsidRDefault="00384EB2" w:rsidP="00C12545">
      <w:pPr>
        <w:pStyle w:val="Normal1"/>
        <w:ind w:firstLine="0"/>
        <w:rPr>
          <w:rFonts w:asciiTheme="majorHAnsi" w:hAnsiTheme="majorHAnsi"/>
          <w:sz w:val="24"/>
        </w:rPr>
      </w:pPr>
    </w:p>
    <w:p w14:paraId="42BC0670" w14:textId="77777777" w:rsidR="007B6BEF" w:rsidRPr="00535A31" w:rsidRDefault="007B6BEF" w:rsidP="00C12545">
      <w:pPr>
        <w:pStyle w:val="Normal1"/>
        <w:ind w:firstLine="0"/>
        <w:rPr>
          <w:rFonts w:asciiTheme="majorHAnsi" w:hAnsiTheme="majorHAnsi"/>
          <w:sz w:val="24"/>
        </w:rPr>
      </w:pPr>
      <w:r w:rsidRPr="00535A31">
        <w:rPr>
          <w:rFonts w:asciiTheme="majorHAnsi" w:hAnsiTheme="majorHAnsi"/>
          <w:sz w:val="24"/>
        </w:rPr>
        <w:t xml:space="preserve">Le titulaire du marché concède, à titre non exclusif, au pouvoir adjudicateur et aux tiers désignés dans le marché, pour la France et pour la durée légale des droits d’auteur, le droit d’utiliser ou de faire utiliser au sens de l’article L. 122-6 (1°) du code de la propriété intellectuelle, le ou les logiciels standards et la documentation y afférente pour les besoins découlant de l’objet du marché, dans la limite des éventuelles conditions restrictives prévues et acceptées par le pouvoir adjudicateur dans les documents particuliers du marché. Dans l’hypothèse d’une publication sur internet, les droits sont concédés pour le monde entier. </w:t>
      </w:r>
    </w:p>
    <w:p w14:paraId="74B85773" w14:textId="77777777" w:rsidR="007B6BEF" w:rsidRPr="00535A31" w:rsidRDefault="007B6BEF" w:rsidP="00C12545">
      <w:pPr>
        <w:pStyle w:val="Normal1"/>
        <w:ind w:firstLine="0"/>
        <w:rPr>
          <w:rFonts w:asciiTheme="majorHAnsi" w:hAnsiTheme="majorHAnsi"/>
          <w:sz w:val="24"/>
        </w:rPr>
      </w:pPr>
      <w:r w:rsidRPr="00535A31">
        <w:rPr>
          <w:rFonts w:asciiTheme="majorHAnsi" w:hAnsiTheme="majorHAnsi"/>
          <w:sz w:val="24"/>
        </w:rPr>
        <w:lastRenderedPageBreak/>
        <w:t xml:space="preserve">Le titulaire du marché ne peut se réserver le droit exclusif de procéder aux corrections rendues nécessaires pour l’utilisation du ou des logiciels standards conforme à leur destination. </w:t>
      </w:r>
    </w:p>
    <w:p w14:paraId="72621C9B" w14:textId="0D30A2E7" w:rsidR="007B6BEF" w:rsidRPr="00535A31" w:rsidRDefault="007B6BEF" w:rsidP="00C12545">
      <w:pPr>
        <w:pStyle w:val="Normal1"/>
        <w:ind w:firstLine="0"/>
        <w:rPr>
          <w:rFonts w:asciiTheme="majorHAnsi" w:hAnsiTheme="majorHAnsi"/>
          <w:sz w:val="24"/>
        </w:rPr>
      </w:pPr>
      <w:r w:rsidRPr="00535A31">
        <w:rPr>
          <w:rFonts w:asciiTheme="majorHAnsi" w:hAnsiTheme="majorHAnsi"/>
          <w:sz w:val="24"/>
        </w:rPr>
        <w:t>Le titulaire du marché autorise le pouvoir adjudicateur à extraire et exploiter librement les bases de données incluses, le cas échéant, dans les résultats, notamment en vue de la mise à disposition des informations publiques à des fins de réutilisation à titre gratuit ou onéreux.</w:t>
      </w:r>
    </w:p>
    <w:p w14:paraId="6D8297CF" w14:textId="4697860F" w:rsidR="007B6BEF" w:rsidRPr="00535A31" w:rsidRDefault="007B6BEF" w:rsidP="00C12545">
      <w:pPr>
        <w:pStyle w:val="Normal1"/>
        <w:ind w:firstLine="0"/>
        <w:rPr>
          <w:rFonts w:asciiTheme="majorHAnsi" w:hAnsiTheme="majorHAnsi"/>
          <w:sz w:val="24"/>
        </w:rPr>
      </w:pPr>
    </w:p>
    <w:p w14:paraId="73B1C665" w14:textId="0E5EFFA8" w:rsidR="003538BB" w:rsidRPr="00C44970" w:rsidRDefault="003538BB" w:rsidP="00C12545">
      <w:pPr>
        <w:pStyle w:val="Normal1"/>
        <w:ind w:firstLine="0"/>
        <w:rPr>
          <w:rFonts w:asciiTheme="majorHAnsi" w:hAnsiTheme="majorHAnsi"/>
          <w:sz w:val="24"/>
        </w:rPr>
      </w:pPr>
      <w:r w:rsidRPr="00535A31">
        <w:rPr>
          <w:rFonts w:asciiTheme="majorHAnsi" w:hAnsiTheme="majorHAnsi"/>
          <w:sz w:val="24"/>
        </w:rPr>
        <w:t xml:space="preserve">Conformément à l’article A.38 du CCAG-TIC, le titulaire du marché </w:t>
      </w:r>
      <w:r w:rsidR="00667352" w:rsidRPr="00535A31">
        <w:rPr>
          <w:rFonts w:asciiTheme="majorHAnsi" w:hAnsiTheme="majorHAnsi"/>
          <w:sz w:val="24"/>
        </w:rPr>
        <w:t>concède</w:t>
      </w:r>
      <w:r w:rsidRPr="00535A31">
        <w:rPr>
          <w:rFonts w:asciiTheme="majorHAnsi" w:hAnsiTheme="majorHAnsi"/>
          <w:sz w:val="24"/>
        </w:rPr>
        <w:t>, à titre non exclusif, au pouvoir adjudicateur, le droit d’</w:t>
      </w:r>
      <w:r w:rsidR="00667352" w:rsidRPr="00535A31">
        <w:rPr>
          <w:rFonts w:asciiTheme="majorHAnsi" w:hAnsiTheme="majorHAnsi"/>
          <w:sz w:val="24"/>
        </w:rPr>
        <w:t>utiliser</w:t>
      </w:r>
      <w:r w:rsidRPr="00535A31">
        <w:rPr>
          <w:rFonts w:asciiTheme="majorHAnsi" w:hAnsiTheme="majorHAnsi"/>
          <w:sz w:val="24"/>
        </w:rPr>
        <w:t xml:space="preserve"> ou </w:t>
      </w:r>
      <w:r w:rsidR="00667352" w:rsidRPr="00535A31">
        <w:rPr>
          <w:rFonts w:asciiTheme="majorHAnsi" w:hAnsiTheme="majorHAnsi"/>
          <w:sz w:val="24"/>
        </w:rPr>
        <w:t>de faire utiliser les résultats, bruts ou modifiés, temporairement ou de manière permanente, totalement ou partiellement, par tous</w:t>
      </w:r>
      <w:r w:rsidR="007B6BEF" w:rsidRPr="00535A31">
        <w:rPr>
          <w:rFonts w:asciiTheme="majorHAnsi" w:hAnsiTheme="majorHAnsi"/>
          <w:sz w:val="24"/>
        </w:rPr>
        <w:t xml:space="preserve"> moyens et sous toutes formes.</w:t>
      </w:r>
    </w:p>
    <w:p w14:paraId="7828F286" w14:textId="47EC0C32" w:rsidR="00603F9F" w:rsidRPr="00C44970" w:rsidRDefault="00603F9F" w:rsidP="00C12545">
      <w:pPr>
        <w:pStyle w:val="Normal1"/>
        <w:ind w:firstLine="0"/>
        <w:rPr>
          <w:rFonts w:asciiTheme="majorHAnsi" w:hAnsiTheme="majorHAnsi"/>
          <w:sz w:val="24"/>
        </w:rPr>
      </w:pPr>
    </w:p>
    <w:p w14:paraId="3E03D5CE" w14:textId="77777777" w:rsidR="00ED5B2C" w:rsidRPr="00C44970" w:rsidRDefault="00ED5B2C" w:rsidP="00C12545">
      <w:pPr>
        <w:rPr>
          <w:rFonts w:asciiTheme="majorHAnsi" w:hAnsiTheme="majorHAnsi"/>
          <w:sz w:val="24"/>
        </w:rPr>
      </w:pPr>
    </w:p>
    <w:p w14:paraId="4D937854" w14:textId="5EBE5B43" w:rsidR="00673D24" w:rsidRPr="00EF723A" w:rsidRDefault="00EF723A" w:rsidP="00C12545">
      <w:pPr>
        <w:ind w:left="567" w:hanging="425"/>
        <w:rPr>
          <w:rFonts w:asciiTheme="majorHAnsi" w:hAnsiTheme="majorHAnsi"/>
          <w:b/>
          <w:sz w:val="28"/>
          <w:szCs w:val="28"/>
        </w:rPr>
      </w:pPr>
      <w:r w:rsidRPr="00EF723A">
        <w:rPr>
          <w:rFonts w:asciiTheme="majorHAnsi" w:hAnsiTheme="majorHAnsi"/>
          <w:b/>
          <w:sz w:val="28"/>
          <w:szCs w:val="28"/>
        </w:rPr>
        <w:t>7</w:t>
      </w:r>
      <w:r w:rsidR="00673D24" w:rsidRPr="00EF723A">
        <w:rPr>
          <w:rFonts w:asciiTheme="majorHAnsi" w:hAnsiTheme="majorHAnsi"/>
          <w:b/>
          <w:sz w:val="28"/>
          <w:szCs w:val="28"/>
        </w:rPr>
        <w:t xml:space="preserve"> </w:t>
      </w:r>
      <w:r w:rsidR="00673D24" w:rsidRPr="00EF723A">
        <w:rPr>
          <w:rFonts w:asciiTheme="majorHAnsi" w:hAnsiTheme="majorHAnsi"/>
          <w:b/>
          <w:sz w:val="28"/>
          <w:szCs w:val="28"/>
        </w:rPr>
        <w:tab/>
      </w:r>
      <w:r w:rsidR="0098048D" w:rsidRPr="00EF723A">
        <w:rPr>
          <w:rFonts w:asciiTheme="majorHAnsi" w:hAnsiTheme="majorHAnsi"/>
          <w:b/>
          <w:sz w:val="28"/>
          <w:szCs w:val="28"/>
          <w:u w:val="single"/>
        </w:rPr>
        <w:t>Modalités de détermination des prix</w:t>
      </w:r>
    </w:p>
    <w:p w14:paraId="2D7BFDF1" w14:textId="77777777" w:rsidR="00673D24" w:rsidRPr="00C44970" w:rsidRDefault="00673D24" w:rsidP="00C12545">
      <w:pPr>
        <w:rPr>
          <w:rFonts w:asciiTheme="majorHAnsi" w:hAnsiTheme="majorHAnsi"/>
          <w:b/>
          <w:sz w:val="24"/>
        </w:rPr>
      </w:pPr>
    </w:p>
    <w:p w14:paraId="08C9CEB6" w14:textId="625F35FF" w:rsidR="00673D24" w:rsidRPr="00C44970" w:rsidRDefault="00EF723A" w:rsidP="00C12545">
      <w:pPr>
        <w:ind w:left="1134"/>
        <w:rPr>
          <w:rFonts w:asciiTheme="majorHAnsi" w:hAnsiTheme="majorHAnsi"/>
          <w:b/>
          <w:i/>
          <w:sz w:val="24"/>
        </w:rPr>
      </w:pPr>
      <w:r>
        <w:rPr>
          <w:rFonts w:asciiTheme="majorHAnsi" w:hAnsiTheme="majorHAnsi"/>
          <w:b/>
          <w:i/>
          <w:sz w:val="24"/>
        </w:rPr>
        <w:t>7</w:t>
      </w:r>
      <w:r w:rsidR="00673D24" w:rsidRPr="00C44970">
        <w:rPr>
          <w:rFonts w:asciiTheme="majorHAnsi" w:hAnsiTheme="majorHAnsi"/>
          <w:b/>
          <w:i/>
          <w:sz w:val="24"/>
        </w:rPr>
        <w:t>.1 Forme et contenu des prix</w:t>
      </w:r>
    </w:p>
    <w:p w14:paraId="7CB1F131" w14:textId="24468324" w:rsidR="00673D24" w:rsidRPr="00C44970" w:rsidRDefault="00673D24" w:rsidP="00C12545">
      <w:pPr>
        <w:rPr>
          <w:rFonts w:asciiTheme="majorHAnsi" w:hAnsiTheme="majorHAnsi"/>
          <w:sz w:val="24"/>
        </w:rPr>
      </w:pPr>
      <w:r w:rsidRPr="00C44970">
        <w:rPr>
          <w:rFonts w:asciiTheme="majorHAnsi" w:hAnsiTheme="majorHAnsi"/>
          <w:sz w:val="24"/>
        </w:rPr>
        <w:t>Le marché est conclu à prix forfaitaire</w:t>
      </w:r>
      <w:r w:rsidR="00603F9F" w:rsidRPr="00C44970">
        <w:rPr>
          <w:rFonts w:asciiTheme="majorHAnsi" w:hAnsiTheme="majorHAnsi"/>
          <w:sz w:val="24"/>
        </w:rPr>
        <w:t>.</w:t>
      </w:r>
    </w:p>
    <w:p w14:paraId="08A63142" w14:textId="39B6FC3C" w:rsidR="00673D24" w:rsidRPr="00C44970" w:rsidRDefault="00673D24" w:rsidP="00C12545">
      <w:pPr>
        <w:rPr>
          <w:rFonts w:asciiTheme="majorHAnsi" w:hAnsiTheme="majorHAnsi"/>
          <w:sz w:val="24"/>
        </w:rPr>
      </w:pPr>
      <w:r w:rsidRPr="00C44970">
        <w:rPr>
          <w:rFonts w:asciiTheme="majorHAnsi" w:hAnsiTheme="majorHAnsi"/>
          <w:sz w:val="24"/>
        </w:rPr>
        <w:t>Les taux légaux de TVA et les taxes parafiscales éventuelles sont indiqués à part. Dans le cas d’une modification du régime fiscal pendant la durée d’exécution du marché, les nouvelles dispositions réglementaires interviendront dès leur mise en vigueur officielle.</w:t>
      </w:r>
    </w:p>
    <w:p w14:paraId="6ABC73A9" w14:textId="77777777" w:rsidR="00673D24" w:rsidRPr="00C44970" w:rsidRDefault="00673D24" w:rsidP="00C12545">
      <w:pPr>
        <w:rPr>
          <w:rFonts w:asciiTheme="majorHAnsi" w:hAnsiTheme="majorHAnsi"/>
          <w:sz w:val="24"/>
        </w:rPr>
      </w:pPr>
    </w:p>
    <w:p w14:paraId="5AAE0D8F" w14:textId="73922ED4" w:rsidR="00673D24" w:rsidRPr="00C44970" w:rsidRDefault="00EF723A" w:rsidP="00C12545">
      <w:pPr>
        <w:ind w:left="1134"/>
        <w:rPr>
          <w:rFonts w:asciiTheme="majorHAnsi" w:hAnsiTheme="majorHAnsi"/>
          <w:b/>
          <w:i/>
          <w:sz w:val="24"/>
        </w:rPr>
      </w:pPr>
      <w:r>
        <w:rPr>
          <w:rFonts w:asciiTheme="majorHAnsi" w:hAnsiTheme="majorHAnsi"/>
          <w:b/>
          <w:i/>
          <w:sz w:val="24"/>
        </w:rPr>
        <w:t>7</w:t>
      </w:r>
      <w:r w:rsidR="00673D24" w:rsidRPr="00C44970">
        <w:rPr>
          <w:rFonts w:asciiTheme="majorHAnsi" w:hAnsiTheme="majorHAnsi"/>
          <w:b/>
          <w:i/>
          <w:sz w:val="24"/>
        </w:rPr>
        <w:t>.2 Caractère du prix</w:t>
      </w:r>
    </w:p>
    <w:p w14:paraId="6E6209F6" w14:textId="063B1AB7" w:rsidR="00673D24" w:rsidRPr="00C44970" w:rsidRDefault="007C0616" w:rsidP="00C12545">
      <w:pPr>
        <w:rPr>
          <w:rFonts w:asciiTheme="majorHAnsi" w:hAnsiTheme="majorHAnsi"/>
          <w:sz w:val="24"/>
        </w:rPr>
      </w:pPr>
      <w:r w:rsidRPr="00C44970">
        <w:rPr>
          <w:rFonts w:asciiTheme="majorHAnsi" w:hAnsiTheme="majorHAnsi"/>
          <w:sz w:val="24"/>
        </w:rPr>
        <w:t xml:space="preserve">Les prestations faisant l’objet du marché seront réglées par un prix global forfaitaire selon les stipulations de l’acte d’engagement. </w:t>
      </w:r>
    </w:p>
    <w:p w14:paraId="1FA214DF" w14:textId="13989A93" w:rsidR="007B6BEF" w:rsidRPr="00C44970" w:rsidRDefault="007B6BEF" w:rsidP="00C12545">
      <w:pPr>
        <w:rPr>
          <w:rFonts w:asciiTheme="majorHAnsi" w:hAnsiTheme="majorHAnsi"/>
          <w:sz w:val="24"/>
        </w:rPr>
      </w:pPr>
    </w:p>
    <w:p w14:paraId="239564D8" w14:textId="38395C20" w:rsidR="00673D24" w:rsidRPr="006E78C1" w:rsidRDefault="00EF723A" w:rsidP="00C12545">
      <w:pPr>
        <w:ind w:left="1134"/>
        <w:jc w:val="left"/>
        <w:rPr>
          <w:rFonts w:asciiTheme="majorHAnsi" w:hAnsiTheme="majorHAnsi"/>
          <w:b/>
          <w:i/>
          <w:sz w:val="24"/>
        </w:rPr>
      </w:pPr>
      <w:r w:rsidRPr="006E78C1">
        <w:rPr>
          <w:rFonts w:asciiTheme="majorHAnsi" w:hAnsiTheme="majorHAnsi"/>
          <w:b/>
          <w:i/>
          <w:sz w:val="24"/>
        </w:rPr>
        <w:t>7</w:t>
      </w:r>
      <w:r w:rsidR="00673D24" w:rsidRPr="006E78C1">
        <w:rPr>
          <w:rFonts w:asciiTheme="majorHAnsi" w:hAnsiTheme="majorHAnsi"/>
          <w:b/>
          <w:i/>
          <w:sz w:val="24"/>
        </w:rPr>
        <w:t xml:space="preserve">.3 </w:t>
      </w:r>
      <w:r w:rsidR="006C0960" w:rsidRPr="006E78C1">
        <w:rPr>
          <w:rFonts w:asciiTheme="majorHAnsi" w:hAnsiTheme="majorHAnsi"/>
          <w:b/>
          <w:i/>
          <w:sz w:val="24"/>
        </w:rPr>
        <w:t>Révision</w:t>
      </w:r>
      <w:r w:rsidR="00673D24" w:rsidRPr="006E78C1">
        <w:rPr>
          <w:rFonts w:asciiTheme="majorHAnsi" w:hAnsiTheme="majorHAnsi"/>
          <w:b/>
          <w:i/>
          <w:sz w:val="24"/>
        </w:rPr>
        <w:t xml:space="preserve"> des prix</w:t>
      </w:r>
    </w:p>
    <w:p w14:paraId="31CC706C" w14:textId="77777777" w:rsidR="006E78C1" w:rsidRDefault="007B6BEF" w:rsidP="00C12545">
      <w:pPr>
        <w:rPr>
          <w:rFonts w:asciiTheme="majorHAnsi" w:hAnsiTheme="majorHAnsi"/>
          <w:sz w:val="24"/>
        </w:rPr>
      </w:pPr>
      <w:r w:rsidRPr="006E78C1">
        <w:rPr>
          <w:rFonts w:asciiTheme="majorHAnsi" w:hAnsiTheme="majorHAnsi"/>
          <w:sz w:val="24"/>
        </w:rPr>
        <w:t xml:space="preserve">Les prix du marché sont </w:t>
      </w:r>
      <w:r w:rsidR="00C76DE6" w:rsidRPr="006E78C1">
        <w:rPr>
          <w:rFonts w:asciiTheme="majorHAnsi" w:hAnsiTheme="majorHAnsi"/>
          <w:sz w:val="24"/>
        </w:rPr>
        <w:t>réputés fermes</w:t>
      </w:r>
      <w:r w:rsidR="00542CCC" w:rsidRPr="006E78C1">
        <w:rPr>
          <w:rFonts w:asciiTheme="majorHAnsi" w:hAnsiTheme="majorHAnsi"/>
          <w:sz w:val="24"/>
        </w:rPr>
        <w:t>. Ils sont</w:t>
      </w:r>
      <w:r w:rsidR="00C76DE6" w:rsidRPr="006E78C1">
        <w:rPr>
          <w:rFonts w:asciiTheme="majorHAnsi" w:hAnsiTheme="majorHAnsi"/>
          <w:sz w:val="24"/>
        </w:rPr>
        <w:t xml:space="preserve"> révisables</w:t>
      </w:r>
      <w:r w:rsidR="00FE65E4" w:rsidRPr="006E78C1">
        <w:rPr>
          <w:rFonts w:asciiTheme="majorHAnsi" w:hAnsiTheme="majorHAnsi"/>
          <w:sz w:val="24"/>
        </w:rPr>
        <w:t xml:space="preserve"> </w:t>
      </w:r>
      <w:r w:rsidR="00542CCC" w:rsidRPr="006E78C1">
        <w:rPr>
          <w:rFonts w:asciiTheme="majorHAnsi" w:hAnsiTheme="majorHAnsi"/>
          <w:sz w:val="24"/>
        </w:rPr>
        <w:t xml:space="preserve">pour les lot 2 et 3 </w:t>
      </w:r>
      <w:r w:rsidR="008C3953" w:rsidRPr="006E78C1">
        <w:rPr>
          <w:rFonts w:asciiTheme="majorHAnsi" w:hAnsiTheme="majorHAnsi"/>
          <w:sz w:val="24"/>
        </w:rPr>
        <w:t xml:space="preserve">à la date anniversaire </w:t>
      </w:r>
      <w:r w:rsidR="00FE65E4" w:rsidRPr="006E78C1">
        <w:rPr>
          <w:rFonts w:asciiTheme="majorHAnsi" w:hAnsiTheme="majorHAnsi"/>
          <w:sz w:val="24"/>
        </w:rPr>
        <w:t>selon les modalités suivantes :</w:t>
      </w:r>
    </w:p>
    <w:p w14:paraId="1628D297" w14:textId="2CE4C3BE" w:rsidR="00FE65E4" w:rsidRPr="006E78C1" w:rsidRDefault="00953217" w:rsidP="006E78C1">
      <w:pPr>
        <w:ind w:left="360"/>
        <w:rPr>
          <w:sz w:val="24"/>
        </w:rPr>
      </w:pPr>
      <w:r>
        <w:rPr>
          <w:sz w:val="24"/>
        </w:rPr>
        <w:tab/>
      </w:r>
      <w:r>
        <w:rPr>
          <w:sz w:val="24"/>
        </w:rPr>
        <w:tab/>
      </w:r>
      <w:r>
        <w:rPr>
          <w:sz w:val="24"/>
        </w:rPr>
        <w:tab/>
      </w:r>
      <w:r>
        <w:rPr>
          <w:sz w:val="24"/>
        </w:rPr>
        <w:tab/>
      </w:r>
      <w:r>
        <w:rPr>
          <w:sz w:val="24"/>
        </w:rPr>
        <w:tab/>
      </w:r>
      <w:r>
        <w:rPr>
          <w:sz w:val="24"/>
        </w:rPr>
        <w:tab/>
        <w:t>P = Po*(S)/So</w:t>
      </w:r>
      <w:r w:rsidR="00FE65E4">
        <w:rPr>
          <w:rFonts w:asciiTheme="majorHAnsi" w:hAnsiTheme="majorHAnsi"/>
          <w:sz w:val="24"/>
        </w:rPr>
        <w:t xml:space="preserve"> </w:t>
      </w:r>
    </w:p>
    <w:p w14:paraId="26C3D935" w14:textId="77777777" w:rsidR="006E78C1" w:rsidRDefault="006E78C1" w:rsidP="00C12545">
      <w:pPr>
        <w:rPr>
          <w:rFonts w:asciiTheme="majorHAnsi" w:hAnsiTheme="majorHAnsi"/>
          <w:sz w:val="24"/>
        </w:rPr>
      </w:pPr>
    </w:p>
    <w:p w14:paraId="6DC01A49" w14:textId="363A0FD6" w:rsidR="00542CCC" w:rsidRDefault="00953217" w:rsidP="00C12545">
      <w:pPr>
        <w:rPr>
          <w:rFonts w:asciiTheme="majorHAnsi" w:hAnsiTheme="majorHAnsi"/>
          <w:sz w:val="24"/>
        </w:rPr>
      </w:pPr>
      <w:r>
        <w:rPr>
          <w:rFonts w:asciiTheme="majorHAnsi" w:hAnsiTheme="majorHAnsi"/>
          <w:sz w:val="24"/>
        </w:rPr>
        <w:t>Dans lesquelles :</w:t>
      </w:r>
    </w:p>
    <w:p w14:paraId="6C7E591C" w14:textId="46B4A279" w:rsidR="00953217" w:rsidRDefault="00953217" w:rsidP="00C12545">
      <w:pPr>
        <w:rPr>
          <w:rFonts w:asciiTheme="majorHAnsi" w:hAnsiTheme="majorHAnsi"/>
          <w:sz w:val="24"/>
        </w:rPr>
      </w:pPr>
      <w:r>
        <w:rPr>
          <w:rFonts w:asciiTheme="majorHAnsi" w:hAnsiTheme="majorHAnsi"/>
          <w:sz w:val="24"/>
        </w:rPr>
        <w:t>P = Prix révisé</w:t>
      </w:r>
    </w:p>
    <w:p w14:paraId="1AC9E250" w14:textId="2A5E84D9" w:rsidR="00953217" w:rsidRDefault="00953217" w:rsidP="00C12545">
      <w:pPr>
        <w:rPr>
          <w:rFonts w:asciiTheme="majorHAnsi" w:hAnsiTheme="majorHAnsi"/>
          <w:sz w:val="24"/>
        </w:rPr>
      </w:pPr>
      <w:r>
        <w:rPr>
          <w:rFonts w:asciiTheme="majorHAnsi" w:hAnsiTheme="majorHAnsi"/>
          <w:sz w:val="24"/>
        </w:rPr>
        <w:t>Po = Prix de base</w:t>
      </w:r>
    </w:p>
    <w:p w14:paraId="071B3F61" w14:textId="1A59A317" w:rsidR="00953217" w:rsidRDefault="00953217" w:rsidP="00C12545">
      <w:pPr>
        <w:rPr>
          <w:rFonts w:asciiTheme="majorHAnsi" w:hAnsiTheme="majorHAnsi"/>
          <w:sz w:val="24"/>
        </w:rPr>
      </w:pPr>
      <w:r>
        <w:rPr>
          <w:rFonts w:asciiTheme="majorHAnsi" w:hAnsiTheme="majorHAnsi"/>
          <w:sz w:val="24"/>
        </w:rPr>
        <w:t>S = indice SYNTEC le plus récent connu au 1</w:t>
      </w:r>
      <w:r w:rsidRPr="00953217">
        <w:rPr>
          <w:rFonts w:asciiTheme="majorHAnsi" w:hAnsiTheme="majorHAnsi"/>
          <w:sz w:val="24"/>
          <w:vertAlign w:val="superscript"/>
        </w:rPr>
        <w:t>er</w:t>
      </w:r>
      <w:r>
        <w:rPr>
          <w:rFonts w:asciiTheme="majorHAnsi" w:hAnsiTheme="majorHAnsi"/>
          <w:sz w:val="24"/>
        </w:rPr>
        <w:t xml:space="preserve"> janvier de l’année n</w:t>
      </w:r>
    </w:p>
    <w:p w14:paraId="7BD27A6D" w14:textId="27379EEA" w:rsidR="00953217" w:rsidRDefault="00953217" w:rsidP="00C12545">
      <w:pPr>
        <w:rPr>
          <w:rFonts w:asciiTheme="majorHAnsi" w:hAnsiTheme="majorHAnsi"/>
          <w:sz w:val="24"/>
        </w:rPr>
      </w:pPr>
      <w:r>
        <w:rPr>
          <w:rFonts w:asciiTheme="majorHAnsi" w:hAnsiTheme="majorHAnsi"/>
          <w:sz w:val="24"/>
        </w:rPr>
        <w:t>So=l’indice SYNTEC connu au 1</w:t>
      </w:r>
      <w:r w:rsidRPr="00953217">
        <w:rPr>
          <w:rFonts w:asciiTheme="majorHAnsi" w:hAnsiTheme="majorHAnsi"/>
          <w:sz w:val="24"/>
          <w:vertAlign w:val="superscript"/>
        </w:rPr>
        <w:t>er</w:t>
      </w:r>
      <w:r>
        <w:rPr>
          <w:rFonts w:asciiTheme="majorHAnsi" w:hAnsiTheme="majorHAnsi"/>
          <w:sz w:val="24"/>
        </w:rPr>
        <w:t xml:space="preserve"> janvier de l’année n-1</w:t>
      </w:r>
    </w:p>
    <w:p w14:paraId="106D588B" w14:textId="4B6A472C" w:rsidR="00542CCC" w:rsidRDefault="00542CCC" w:rsidP="00C12545">
      <w:pPr>
        <w:rPr>
          <w:rFonts w:asciiTheme="majorHAnsi" w:hAnsiTheme="majorHAnsi"/>
          <w:sz w:val="24"/>
        </w:rPr>
      </w:pPr>
    </w:p>
    <w:p w14:paraId="60845D68" w14:textId="4BD6E35D" w:rsidR="00542CCC" w:rsidRPr="00542CCC" w:rsidRDefault="00542CCC" w:rsidP="00542CCC">
      <w:pPr>
        <w:ind w:firstLine="1134"/>
        <w:rPr>
          <w:rFonts w:asciiTheme="majorHAnsi" w:hAnsiTheme="majorHAnsi"/>
          <w:b/>
          <w:i/>
          <w:sz w:val="24"/>
        </w:rPr>
      </w:pPr>
      <w:r w:rsidRPr="00542CCC">
        <w:rPr>
          <w:rFonts w:asciiTheme="majorHAnsi" w:hAnsiTheme="majorHAnsi"/>
          <w:b/>
          <w:i/>
          <w:sz w:val="24"/>
        </w:rPr>
        <w:t>7.</w:t>
      </w:r>
      <w:r>
        <w:rPr>
          <w:rFonts w:asciiTheme="majorHAnsi" w:hAnsiTheme="majorHAnsi"/>
          <w:b/>
          <w:i/>
          <w:sz w:val="24"/>
        </w:rPr>
        <w:t>4</w:t>
      </w:r>
      <w:r w:rsidRPr="00542CCC">
        <w:rPr>
          <w:rFonts w:asciiTheme="majorHAnsi" w:hAnsiTheme="majorHAnsi"/>
          <w:b/>
          <w:i/>
          <w:sz w:val="24"/>
        </w:rPr>
        <w:t xml:space="preserve"> - Clause de sauvegarde</w:t>
      </w:r>
    </w:p>
    <w:p w14:paraId="510040F0" w14:textId="2FA5A149" w:rsidR="00542CCC" w:rsidRPr="00542CCC" w:rsidRDefault="00542CCC" w:rsidP="00542CCC">
      <w:pPr>
        <w:rPr>
          <w:rFonts w:asciiTheme="majorHAnsi" w:hAnsiTheme="majorHAnsi"/>
          <w:sz w:val="24"/>
        </w:rPr>
      </w:pPr>
      <w:r w:rsidRPr="00542CCC">
        <w:rPr>
          <w:rFonts w:asciiTheme="majorHAnsi" w:hAnsiTheme="majorHAnsi"/>
          <w:sz w:val="24"/>
        </w:rPr>
        <w:t xml:space="preserve">Dans les cas où l'application de la formule de révision conduirait à une augmentation supérieure à </w:t>
      </w:r>
      <w:r>
        <w:rPr>
          <w:rFonts w:asciiTheme="majorHAnsi" w:hAnsiTheme="majorHAnsi"/>
          <w:sz w:val="24"/>
        </w:rPr>
        <w:t>5</w:t>
      </w:r>
      <w:r w:rsidRPr="00542CCC">
        <w:rPr>
          <w:rFonts w:asciiTheme="majorHAnsi" w:hAnsiTheme="majorHAnsi"/>
          <w:sz w:val="24"/>
        </w:rPr>
        <w:t xml:space="preserve">%, le l’IAE de Paris se réserve le droit de résilier le présent marché sauf si le titulaire accepte de ramener le taux de variation à moins de </w:t>
      </w:r>
      <w:r>
        <w:rPr>
          <w:rFonts w:asciiTheme="majorHAnsi" w:hAnsiTheme="majorHAnsi"/>
          <w:sz w:val="24"/>
        </w:rPr>
        <w:t>5</w:t>
      </w:r>
      <w:r w:rsidRPr="00542CCC">
        <w:rPr>
          <w:rFonts w:asciiTheme="majorHAnsi" w:hAnsiTheme="majorHAnsi"/>
          <w:sz w:val="24"/>
        </w:rPr>
        <w:t xml:space="preserve">%. </w:t>
      </w:r>
    </w:p>
    <w:p w14:paraId="4739491D" w14:textId="77777777" w:rsidR="00542CCC" w:rsidRDefault="00542CCC" w:rsidP="00C12545">
      <w:pPr>
        <w:rPr>
          <w:rFonts w:asciiTheme="majorHAnsi" w:hAnsiTheme="majorHAnsi"/>
          <w:sz w:val="24"/>
        </w:rPr>
      </w:pPr>
    </w:p>
    <w:p w14:paraId="4F132654" w14:textId="6B67EB91" w:rsidR="00426584" w:rsidRPr="00C44970" w:rsidRDefault="00C76DE6" w:rsidP="00C12545">
      <w:pPr>
        <w:rPr>
          <w:rFonts w:asciiTheme="majorHAnsi" w:hAnsiTheme="majorHAnsi"/>
          <w:sz w:val="24"/>
        </w:rPr>
      </w:pPr>
      <w:r w:rsidRPr="00C44970">
        <w:rPr>
          <w:rFonts w:asciiTheme="majorHAnsi" w:hAnsiTheme="majorHAnsi"/>
          <w:sz w:val="24"/>
        </w:rPr>
        <w:t xml:space="preserve"> </w:t>
      </w:r>
    </w:p>
    <w:p w14:paraId="523569DA" w14:textId="4FE70AE7" w:rsidR="00673D24" w:rsidRPr="00EF723A" w:rsidRDefault="009F3B9A" w:rsidP="00C12545">
      <w:pPr>
        <w:ind w:left="567" w:hanging="425"/>
        <w:rPr>
          <w:rFonts w:asciiTheme="majorHAnsi" w:hAnsiTheme="majorHAnsi"/>
          <w:b/>
          <w:sz w:val="28"/>
          <w:szCs w:val="28"/>
        </w:rPr>
      </w:pPr>
      <w:r>
        <w:rPr>
          <w:rFonts w:asciiTheme="majorHAnsi" w:hAnsiTheme="majorHAnsi"/>
          <w:b/>
          <w:sz w:val="28"/>
          <w:szCs w:val="28"/>
        </w:rPr>
        <w:t>8</w:t>
      </w:r>
      <w:r w:rsidR="00673D24" w:rsidRPr="00EF723A">
        <w:rPr>
          <w:rFonts w:asciiTheme="majorHAnsi" w:hAnsiTheme="majorHAnsi"/>
          <w:b/>
          <w:sz w:val="28"/>
          <w:szCs w:val="28"/>
        </w:rPr>
        <w:tab/>
      </w:r>
      <w:r w:rsidR="00B27689" w:rsidRPr="00B27689">
        <w:rPr>
          <w:rFonts w:asciiTheme="majorHAnsi" w:hAnsiTheme="majorHAnsi"/>
          <w:b/>
          <w:sz w:val="28"/>
          <w:szCs w:val="28"/>
          <w:u w:val="single"/>
        </w:rPr>
        <w:t>Avance et a</w:t>
      </w:r>
      <w:r w:rsidR="007221BB" w:rsidRPr="00B27689">
        <w:rPr>
          <w:rFonts w:asciiTheme="majorHAnsi" w:hAnsiTheme="majorHAnsi"/>
          <w:b/>
          <w:sz w:val="28"/>
          <w:szCs w:val="28"/>
          <w:u w:val="single"/>
        </w:rPr>
        <w:t>comptes</w:t>
      </w:r>
      <w:r w:rsidR="007221BB" w:rsidRPr="00EF723A">
        <w:rPr>
          <w:rFonts w:asciiTheme="majorHAnsi" w:hAnsiTheme="majorHAnsi"/>
          <w:b/>
          <w:sz w:val="28"/>
          <w:szCs w:val="28"/>
          <w:u w:val="single"/>
        </w:rPr>
        <w:t xml:space="preserve"> </w:t>
      </w:r>
    </w:p>
    <w:p w14:paraId="662AB9D8" w14:textId="77777777" w:rsidR="00673D24" w:rsidRPr="00C44970" w:rsidRDefault="00673D24" w:rsidP="00C12545">
      <w:pPr>
        <w:rPr>
          <w:rFonts w:asciiTheme="majorHAnsi" w:hAnsiTheme="majorHAnsi"/>
          <w:b/>
          <w:sz w:val="24"/>
        </w:rPr>
      </w:pPr>
    </w:p>
    <w:p w14:paraId="5AEB48F9" w14:textId="795579DF" w:rsidR="00B27689" w:rsidRDefault="00B27689" w:rsidP="00C12545">
      <w:pPr>
        <w:ind w:left="1134"/>
        <w:rPr>
          <w:rFonts w:asciiTheme="majorHAnsi" w:hAnsiTheme="majorHAnsi"/>
          <w:b/>
          <w:i/>
          <w:sz w:val="24"/>
        </w:rPr>
      </w:pPr>
      <w:r>
        <w:rPr>
          <w:rFonts w:asciiTheme="majorHAnsi" w:hAnsiTheme="majorHAnsi"/>
          <w:b/>
          <w:i/>
          <w:sz w:val="24"/>
        </w:rPr>
        <w:t>8.1 Avance</w:t>
      </w:r>
    </w:p>
    <w:p w14:paraId="5F314E4E" w14:textId="5EC15655" w:rsidR="00C12545" w:rsidRDefault="00C12545" w:rsidP="00C80826">
      <w:pPr>
        <w:rPr>
          <w:rFonts w:asciiTheme="majorHAnsi" w:hAnsiTheme="majorHAnsi"/>
          <w:sz w:val="24"/>
        </w:rPr>
      </w:pPr>
      <w:r>
        <w:rPr>
          <w:rFonts w:asciiTheme="majorHAnsi" w:hAnsiTheme="majorHAnsi"/>
          <w:sz w:val="24"/>
        </w:rPr>
        <w:t xml:space="preserve">Une avance est accordée au titulaire sauf indication contraire dans l’acte d’engagement, conformément aux dispositions </w:t>
      </w:r>
      <w:r w:rsidR="00C80826">
        <w:rPr>
          <w:rFonts w:asciiTheme="majorHAnsi" w:hAnsiTheme="majorHAnsi"/>
          <w:sz w:val="24"/>
        </w:rPr>
        <w:t xml:space="preserve">des articles 110 et 111 </w:t>
      </w:r>
      <w:r>
        <w:rPr>
          <w:rFonts w:asciiTheme="majorHAnsi" w:hAnsiTheme="majorHAnsi"/>
          <w:sz w:val="24"/>
        </w:rPr>
        <w:t>du décret 2016-</w:t>
      </w:r>
      <w:r w:rsidR="00C80826">
        <w:rPr>
          <w:rFonts w:asciiTheme="majorHAnsi" w:hAnsiTheme="majorHAnsi"/>
          <w:sz w:val="24"/>
        </w:rPr>
        <w:t xml:space="preserve">300 relatif aux marchés publics et ne peut dépasser </w:t>
      </w:r>
      <w:r w:rsidR="006F0B7D">
        <w:rPr>
          <w:rFonts w:asciiTheme="majorHAnsi" w:hAnsiTheme="majorHAnsi"/>
          <w:sz w:val="24"/>
        </w:rPr>
        <w:t>5</w:t>
      </w:r>
      <w:r w:rsidR="00C80826">
        <w:rPr>
          <w:rFonts w:asciiTheme="majorHAnsi" w:hAnsiTheme="majorHAnsi"/>
          <w:sz w:val="24"/>
        </w:rPr>
        <w:t>% du montant du marché.</w:t>
      </w:r>
    </w:p>
    <w:p w14:paraId="466BFD9C" w14:textId="77777777" w:rsidR="00C12545" w:rsidRPr="00C12545" w:rsidRDefault="00C12545" w:rsidP="00C12545">
      <w:pPr>
        <w:jc w:val="left"/>
        <w:rPr>
          <w:rFonts w:asciiTheme="majorHAnsi" w:hAnsiTheme="majorHAnsi"/>
          <w:sz w:val="24"/>
        </w:rPr>
      </w:pPr>
    </w:p>
    <w:p w14:paraId="4D09ACE2" w14:textId="1A62C8F9" w:rsidR="00B27689" w:rsidRPr="00C44970" w:rsidRDefault="00B27689" w:rsidP="00C12545">
      <w:pPr>
        <w:ind w:left="1134"/>
        <w:rPr>
          <w:rFonts w:asciiTheme="majorHAnsi" w:hAnsiTheme="majorHAnsi"/>
          <w:b/>
          <w:i/>
          <w:sz w:val="24"/>
        </w:rPr>
      </w:pPr>
      <w:r>
        <w:rPr>
          <w:rFonts w:asciiTheme="majorHAnsi" w:hAnsiTheme="majorHAnsi"/>
          <w:b/>
          <w:i/>
          <w:sz w:val="24"/>
        </w:rPr>
        <w:lastRenderedPageBreak/>
        <w:t>8</w:t>
      </w:r>
      <w:r w:rsidRPr="00C44970">
        <w:rPr>
          <w:rFonts w:asciiTheme="majorHAnsi" w:hAnsiTheme="majorHAnsi"/>
          <w:b/>
          <w:i/>
          <w:sz w:val="24"/>
        </w:rPr>
        <w:t>.</w:t>
      </w:r>
      <w:r>
        <w:rPr>
          <w:rFonts w:asciiTheme="majorHAnsi" w:hAnsiTheme="majorHAnsi"/>
          <w:b/>
          <w:i/>
          <w:sz w:val="24"/>
        </w:rPr>
        <w:t>2</w:t>
      </w:r>
      <w:r w:rsidRPr="00C44970">
        <w:rPr>
          <w:rFonts w:asciiTheme="majorHAnsi" w:hAnsiTheme="majorHAnsi"/>
          <w:b/>
          <w:i/>
          <w:sz w:val="24"/>
        </w:rPr>
        <w:t xml:space="preserve"> </w:t>
      </w:r>
      <w:r w:rsidR="00C12545">
        <w:rPr>
          <w:rFonts w:asciiTheme="majorHAnsi" w:hAnsiTheme="majorHAnsi"/>
          <w:b/>
          <w:i/>
          <w:sz w:val="24"/>
        </w:rPr>
        <w:t>Acomptes</w:t>
      </w:r>
    </w:p>
    <w:p w14:paraId="59BDF9A7" w14:textId="77777777" w:rsidR="00C12545" w:rsidRDefault="00C12545" w:rsidP="00C12545">
      <w:pPr>
        <w:rPr>
          <w:rFonts w:asciiTheme="majorHAnsi" w:hAnsiTheme="majorHAnsi"/>
          <w:sz w:val="24"/>
        </w:rPr>
      </w:pPr>
      <w:r>
        <w:rPr>
          <w:rFonts w:asciiTheme="majorHAnsi" w:hAnsiTheme="majorHAnsi"/>
          <w:sz w:val="24"/>
        </w:rPr>
        <w:t>Des acomptes pourront être versés en fonction de l’état d’avancement du projet dans les conditions fixées ci-dessous :</w:t>
      </w:r>
    </w:p>
    <w:p w14:paraId="068FF636" w14:textId="49233373" w:rsidR="006C0960" w:rsidRDefault="00C12545" w:rsidP="00C12545">
      <w:pPr>
        <w:rPr>
          <w:rFonts w:asciiTheme="majorHAnsi" w:hAnsiTheme="majorHAnsi"/>
          <w:sz w:val="24"/>
        </w:rPr>
      </w:pPr>
      <w:r>
        <w:rPr>
          <w:rFonts w:asciiTheme="majorHAnsi" w:hAnsiTheme="majorHAnsi"/>
          <w:sz w:val="24"/>
        </w:rPr>
        <w:t>Concernant le lot 1 :</w:t>
      </w:r>
    </w:p>
    <w:p w14:paraId="102871A8" w14:textId="44E75B54" w:rsidR="0048571D" w:rsidRPr="00CB27AE" w:rsidRDefault="00CB27AE" w:rsidP="00C12545">
      <w:pPr>
        <w:pStyle w:val="Paragraphedeliste"/>
        <w:numPr>
          <w:ilvl w:val="0"/>
          <w:numId w:val="30"/>
        </w:numPr>
        <w:rPr>
          <w:rFonts w:asciiTheme="majorHAnsi" w:hAnsiTheme="majorHAnsi"/>
          <w:sz w:val="24"/>
        </w:rPr>
      </w:pPr>
      <w:r w:rsidRPr="00CB27AE">
        <w:rPr>
          <w:rFonts w:asciiTheme="majorHAnsi" w:hAnsiTheme="majorHAnsi"/>
          <w:sz w:val="24"/>
        </w:rPr>
        <w:t xml:space="preserve">Un premier acompte correspond à </w:t>
      </w:r>
      <w:r w:rsidR="006C0960" w:rsidRPr="00CB27AE">
        <w:rPr>
          <w:rFonts w:asciiTheme="majorHAnsi" w:hAnsiTheme="majorHAnsi"/>
          <w:sz w:val="24"/>
        </w:rPr>
        <w:t xml:space="preserve">20 % </w:t>
      </w:r>
      <w:r w:rsidRPr="00CB27AE">
        <w:rPr>
          <w:rFonts w:asciiTheme="majorHAnsi" w:hAnsiTheme="majorHAnsi"/>
          <w:sz w:val="24"/>
        </w:rPr>
        <w:t>du montant du lot pourra être présenté le 1</w:t>
      </w:r>
      <w:r w:rsidRPr="00CB27AE">
        <w:rPr>
          <w:rFonts w:asciiTheme="majorHAnsi" w:hAnsiTheme="majorHAnsi"/>
          <w:sz w:val="24"/>
          <w:vertAlign w:val="superscript"/>
        </w:rPr>
        <w:t>er</w:t>
      </w:r>
      <w:r w:rsidRPr="00CB27AE">
        <w:rPr>
          <w:rFonts w:asciiTheme="majorHAnsi" w:hAnsiTheme="majorHAnsi"/>
          <w:sz w:val="24"/>
        </w:rPr>
        <w:t xml:space="preserve"> décembre</w:t>
      </w:r>
    </w:p>
    <w:p w14:paraId="76663E50" w14:textId="6F8404A3" w:rsidR="00CB27AE" w:rsidRPr="00CB27AE" w:rsidRDefault="00CB27AE" w:rsidP="00C12545">
      <w:pPr>
        <w:pStyle w:val="Paragraphedeliste"/>
        <w:numPr>
          <w:ilvl w:val="0"/>
          <w:numId w:val="30"/>
        </w:numPr>
        <w:rPr>
          <w:rFonts w:asciiTheme="majorHAnsi" w:hAnsiTheme="majorHAnsi"/>
          <w:sz w:val="24"/>
        </w:rPr>
      </w:pPr>
      <w:r w:rsidRPr="00CB27AE">
        <w:rPr>
          <w:rFonts w:asciiTheme="majorHAnsi" w:hAnsiTheme="majorHAnsi"/>
          <w:sz w:val="24"/>
        </w:rPr>
        <w:t>Un deuxième de 20% le1er février</w:t>
      </w:r>
    </w:p>
    <w:p w14:paraId="7A9CF9DE" w14:textId="677647D0" w:rsidR="00673D24" w:rsidRPr="00CB27AE" w:rsidRDefault="00CB27AE" w:rsidP="00C12545">
      <w:pPr>
        <w:pStyle w:val="Paragraphedeliste"/>
        <w:numPr>
          <w:ilvl w:val="0"/>
          <w:numId w:val="30"/>
        </w:numPr>
        <w:rPr>
          <w:rFonts w:asciiTheme="majorHAnsi" w:hAnsiTheme="majorHAnsi"/>
          <w:sz w:val="24"/>
        </w:rPr>
      </w:pPr>
      <w:r w:rsidRPr="00CB27AE">
        <w:rPr>
          <w:rFonts w:asciiTheme="majorHAnsi" w:hAnsiTheme="majorHAnsi"/>
          <w:sz w:val="24"/>
        </w:rPr>
        <w:t>20 % après la décision de la VA</w:t>
      </w:r>
    </w:p>
    <w:p w14:paraId="6899C24B" w14:textId="21EB2499" w:rsidR="00CB27AE" w:rsidRPr="00CB27AE" w:rsidRDefault="00CB27AE" w:rsidP="00C12545">
      <w:pPr>
        <w:pStyle w:val="Paragraphedeliste"/>
        <w:numPr>
          <w:ilvl w:val="0"/>
          <w:numId w:val="30"/>
        </w:numPr>
        <w:rPr>
          <w:rFonts w:asciiTheme="majorHAnsi" w:hAnsiTheme="majorHAnsi"/>
          <w:sz w:val="24"/>
        </w:rPr>
      </w:pPr>
      <w:r w:rsidRPr="00CB27AE">
        <w:rPr>
          <w:rFonts w:asciiTheme="majorHAnsi" w:hAnsiTheme="majorHAnsi"/>
          <w:sz w:val="24"/>
        </w:rPr>
        <w:t>Le solde soit 40 % sera versé après la décision de la VSR</w:t>
      </w:r>
    </w:p>
    <w:p w14:paraId="57FEAF7C" w14:textId="540F3113" w:rsidR="00CB27AE" w:rsidRDefault="00CB27AE" w:rsidP="00C12545">
      <w:pPr>
        <w:rPr>
          <w:rFonts w:asciiTheme="majorHAnsi" w:hAnsiTheme="majorHAnsi"/>
          <w:sz w:val="24"/>
        </w:rPr>
      </w:pPr>
      <w:r>
        <w:rPr>
          <w:rFonts w:asciiTheme="majorHAnsi" w:hAnsiTheme="majorHAnsi"/>
          <w:sz w:val="24"/>
        </w:rPr>
        <w:t xml:space="preserve">Concernant le lot 2, le paiement interviendra </w:t>
      </w:r>
      <w:r w:rsidR="003F04C6">
        <w:rPr>
          <w:rFonts w:asciiTheme="majorHAnsi" w:hAnsiTheme="majorHAnsi"/>
          <w:sz w:val="24"/>
        </w:rPr>
        <w:t xml:space="preserve">à terme à échoir </w:t>
      </w:r>
      <w:r>
        <w:rPr>
          <w:rFonts w:asciiTheme="majorHAnsi" w:hAnsiTheme="majorHAnsi"/>
          <w:sz w:val="24"/>
        </w:rPr>
        <w:t>après la décision de la VSR</w:t>
      </w:r>
      <w:r w:rsidR="00EE575A">
        <w:rPr>
          <w:rFonts w:asciiTheme="majorHAnsi" w:hAnsiTheme="majorHAnsi"/>
          <w:sz w:val="24"/>
        </w:rPr>
        <w:t>.</w:t>
      </w:r>
    </w:p>
    <w:p w14:paraId="0D1546DF" w14:textId="11F9A5C9" w:rsidR="00CB27AE" w:rsidRDefault="00CB27AE" w:rsidP="00C12545">
      <w:pPr>
        <w:rPr>
          <w:rFonts w:asciiTheme="majorHAnsi" w:hAnsiTheme="majorHAnsi"/>
          <w:sz w:val="24"/>
        </w:rPr>
      </w:pPr>
      <w:r>
        <w:rPr>
          <w:rFonts w:asciiTheme="majorHAnsi" w:hAnsiTheme="majorHAnsi"/>
          <w:sz w:val="24"/>
        </w:rPr>
        <w:t xml:space="preserve">Pour le lot 3, </w:t>
      </w:r>
      <w:r w:rsidR="00EE575A">
        <w:rPr>
          <w:rFonts w:asciiTheme="majorHAnsi" w:hAnsiTheme="majorHAnsi"/>
          <w:sz w:val="24"/>
        </w:rPr>
        <w:t>le paiement ne pourra intervenir qu’à terme échu après exécution de l’intervention.</w:t>
      </w:r>
    </w:p>
    <w:p w14:paraId="17BA020E" w14:textId="217F7743" w:rsidR="00CB27AE" w:rsidRDefault="00CB27AE" w:rsidP="00C12545">
      <w:pPr>
        <w:rPr>
          <w:rFonts w:asciiTheme="majorHAnsi" w:hAnsiTheme="majorHAnsi"/>
          <w:sz w:val="24"/>
        </w:rPr>
      </w:pPr>
    </w:p>
    <w:p w14:paraId="320F0ACD" w14:textId="77777777" w:rsidR="00CB27AE" w:rsidRPr="00C44970" w:rsidRDefault="00CB27AE" w:rsidP="00C12545">
      <w:pPr>
        <w:rPr>
          <w:rFonts w:asciiTheme="majorHAnsi" w:hAnsiTheme="majorHAnsi"/>
          <w:sz w:val="24"/>
        </w:rPr>
      </w:pPr>
    </w:p>
    <w:p w14:paraId="732AB08F" w14:textId="40924BEF" w:rsidR="00673D24" w:rsidRPr="00EF723A" w:rsidRDefault="009F3B9A" w:rsidP="00C12545">
      <w:pPr>
        <w:ind w:left="567" w:hanging="425"/>
        <w:rPr>
          <w:rFonts w:asciiTheme="majorHAnsi" w:hAnsiTheme="majorHAnsi"/>
          <w:b/>
          <w:sz w:val="28"/>
          <w:szCs w:val="28"/>
          <w:u w:val="single"/>
        </w:rPr>
      </w:pPr>
      <w:r>
        <w:rPr>
          <w:rFonts w:asciiTheme="majorHAnsi" w:hAnsiTheme="majorHAnsi"/>
          <w:b/>
          <w:sz w:val="28"/>
          <w:szCs w:val="28"/>
        </w:rPr>
        <w:t>9</w:t>
      </w:r>
      <w:r w:rsidR="00673D24" w:rsidRPr="00EF723A">
        <w:rPr>
          <w:rFonts w:asciiTheme="majorHAnsi" w:hAnsiTheme="majorHAnsi"/>
          <w:b/>
          <w:sz w:val="28"/>
          <w:szCs w:val="28"/>
        </w:rPr>
        <w:tab/>
      </w:r>
      <w:r w:rsidR="007221BB" w:rsidRPr="00EF723A">
        <w:rPr>
          <w:rFonts w:asciiTheme="majorHAnsi" w:hAnsiTheme="majorHAnsi"/>
          <w:b/>
          <w:sz w:val="28"/>
          <w:szCs w:val="28"/>
          <w:u w:val="single"/>
        </w:rPr>
        <w:t>Facturation et paiement</w:t>
      </w:r>
    </w:p>
    <w:p w14:paraId="47C441FA" w14:textId="77777777" w:rsidR="00673D24" w:rsidRPr="00C44970" w:rsidRDefault="00673D24" w:rsidP="00C12545">
      <w:pPr>
        <w:rPr>
          <w:rFonts w:asciiTheme="majorHAnsi" w:hAnsiTheme="majorHAnsi"/>
          <w:b/>
          <w:sz w:val="24"/>
        </w:rPr>
      </w:pPr>
    </w:p>
    <w:p w14:paraId="4F24008A" w14:textId="0D70AB8B" w:rsidR="00673D24" w:rsidRPr="00C44970" w:rsidRDefault="00673D24" w:rsidP="00C12545">
      <w:pPr>
        <w:rPr>
          <w:rFonts w:asciiTheme="majorHAnsi" w:hAnsiTheme="majorHAnsi"/>
          <w:sz w:val="24"/>
        </w:rPr>
      </w:pPr>
      <w:r w:rsidRPr="00C44970">
        <w:rPr>
          <w:rFonts w:asciiTheme="majorHAnsi" w:hAnsiTheme="majorHAnsi"/>
          <w:sz w:val="24"/>
        </w:rPr>
        <w:t xml:space="preserve">Le paiement est effectué par l’Agent Comptable de l’IAE de Paris et </w:t>
      </w:r>
      <w:r w:rsidRPr="00C44970">
        <w:rPr>
          <w:rFonts w:asciiTheme="majorHAnsi" w:hAnsiTheme="majorHAnsi"/>
          <w:b/>
          <w:sz w:val="24"/>
        </w:rPr>
        <w:t>sur présentation d’une facture</w:t>
      </w:r>
      <w:r w:rsidR="0048571D" w:rsidRPr="00C44970">
        <w:rPr>
          <w:rFonts w:asciiTheme="majorHAnsi" w:hAnsiTheme="majorHAnsi"/>
          <w:b/>
          <w:sz w:val="24"/>
        </w:rPr>
        <w:t xml:space="preserve"> originale</w:t>
      </w:r>
      <w:r w:rsidRPr="00C44970">
        <w:rPr>
          <w:rFonts w:asciiTheme="majorHAnsi" w:hAnsiTheme="majorHAnsi"/>
          <w:sz w:val="24"/>
        </w:rPr>
        <w:t xml:space="preserve">, mentionnant obligatoirement le </w:t>
      </w:r>
      <w:r w:rsidR="001C5447" w:rsidRPr="00C44970">
        <w:rPr>
          <w:rFonts w:asciiTheme="majorHAnsi" w:hAnsiTheme="majorHAnsi"/>
          <w:sz w:val="24"/>
        </w:rPr>
        <w:t xml:space="preserve">numéro du marché </w:t>
      </w:r>
      <w:r w:rsidR="00EE575A">
        <w:rPr>
          <w:rFonts w:asciiTheme="majorHAnsi" w:hAnsiTheme="majorHAnsi"/>
          <w:sz w:val="24"/>
        </w:rPr>
        <w:t xml:space="preserve">(n° 2018MLSPLCOM03) </w:t>
      </w:r>
      <w:r w:rsidR="001C5447" w:rsidRPr="00C44970">
        <w:rPr>
          <w:rFonts w:asciiTheme="majorHAnsi" w:hAnsiTheme="majorHAnsi"/>
          <w:sz w:val="24"/>
        </w:rPr>
        <w:t>et du lot concerné</w:t>
      </w:r>
      <w:r w:rsidRPr="00C44970">
        <w:rPr>
          <w:rFonts w:asciiTheme="majorHAnsi" w:hAnsiTheme="majorHAnsi"/>
          <w:sz w:val="24"/>
        </w:rPr>
        <w:t> ; cette facture doit être établie en deux exemplaires adressée à :</w:t>
      </w:r>
    </w:p>
    <w:p w14:paraId="33359D7A" w14:textId="77777777" w:rsidR="00673D24" w:rsidRPr="00C44970" w:rsidRDefault="00673D24" w:rsidP="00C12545">
      <w:pPr>
        <w:rPr>
          <w:rFonts w:asciiTheme="majorHAnsi" w:hAnsiTheme="majorHAnsi"/>
          <w:sz w:val="24"/>
        </w:rPr>
      </w:pPr>
    </w:p>
    <w:p w14:paraId="2AE72804" w14:textId="77777777" w:rsidR="007F2CD4" w:rsidRPr="00C44970" w:rsidRDefault="007F2CD4" w:rsidP="00C12545">
      <w:pPr>
        <w:pStyle w:val="Commentaire"/>
        <w:jc w:val="center"/>
        <w:rPr>
          <w:rFonts w:asciiTheme="majorHAnsi" w:hAnsiTheme="majorHAnsi"/>
          <w:b/>
          <w:sz w:val="24"/>
        </w:rPr>
      </w:pPr>
      <w:r w:rsidRPr="00C44970">
        <w:rPr>
          <w:rFonts w:asciiTheme="majorHAnsi" w:hAnsiTheme="majorHAnsi"/>
          <w:b/>
          <w:sz w:val="24"/>
        </w:rPr>
        <w:t>IAE de PARIS</w:t>
      </w:r>
    </w:p>
    <w:p w14:paraId="00F6DB01" w14:textId="4225D486" w:rsidR="007F2CD4" w:rsidRPr="00C44970" w:rsidRDefault="007F2CD4" w:rsidP="00C12545">
      <w:pPr>
        <w:pStyle w:val="Commentaire"/>
        <w:jc w:val="center"/>
        <w:rPr>
          <w:rFonts w:asciiTheme="majorHAnsi" w:hAnsiTheme="majorHAnsi"/>
          <w:b/>
          <w:sz w:val="24"/>
        </w:rPr>
      </w:pPr>
      <w:r w:rsidRPr="00C44970">
        <w:rPr>
          <w:rFonts w:asciiTheme="majorHAnsi" w:hAnsiTheme="majorHAnsi"/>
          <w:b/>
          <w:sz w:val="24"/>
        </w:rPr>
        <w:t xml:space="preserve">Service financier – </w:t>
      </w:r>
      <w:r w:rsidR="001B1A54" w:rsidRPr="00C44970">
        <w:rPr>
          <w:rFonts w:asciiTheme="majorHAnsi" w:hAnsiTheme="majorHAnsi"/>
          <w:b/>
          <w:sz w:val="24"/>
        </w:rPr>
        <w:t>Pôle dépense</w:t>
      </w:r>
    </w:p>
    <w:p w14:paraId="193C55A9" w14:textId="77777777" w:rsidR="007F2CD4" w:rsidRPr="00C44970" w:rsidRDefault="007F2CD4" w:rsidP="00C12545">
      <w:pPr>
        <w:pStyle w:val="Commentaire"/>
        <w:jc w:val="center"/>
        <w:rPr>
          <w:rFonts w:asciiTheme="majorHAnsi" w:hAnsiTheme="majorHAnsi"/>
          <w:b/>
          <w:sz w:val="24"/>
        </w:rPr>
      </w:pPr>
      <w:r w:rsidRPr="00C44970">
        <w:rPr>
          <w:rFonts w:asciiTheme="majorHAnsi" w:hAnsiTheme="majorHAnsi"/>
          <w:b/>
          <w:sz w:val="24"/>
        </w:rPr>
        <w:t>8 bis rue de la Croix Jarry</w:t>
      </w:r>
    </w:p>
    <w:p w14:paraId="3AAEF2E3" w14:textId="77777777" w:rsidR="007F2CD4" w:rsidRPr="00C44970" w:rsidRDefault="007F2CD4" w:rsidP="00C12545">
      <w:pPr>
        <w:pStyle w:val="Commentaire"/>
        <w:jc w:val="center"/>
        <w:rPr>
          <w:rFonts w:asciiTheme="majorHAnsi" w:hAnsiTheme="majorHAnsi"/>
          <w:b/>
          <w:sz w:val="24"/>
        </w:rPr>
      </w:pPr>
      <w:r w:rsidRPr="00C44970">
        <w:rPr>
          <w:rFonts w:asciiTheme="majorHAnsi" w:hAnsiTheme="majorHAnsi"/>
          <w:b/>
          <w:sz w:val="24"/>
        </w:rPr>
        <w:t>75013 Paris</w:t>
      </w:r>
    </w:p>
    <w:p w14:paraId="0991CEFA" w14:textId="77777777" w:rsidR="009F3B9A" w:rsidRDefault="009F3B9A" w:rsidP="00C12545">
      <w:pPr>
        <w:pStyle w:val="Commentaire"/>
        <w:jc w:val="center"/>
        <w:rPr>
          <w:rFonts w:asciiTheme="majorHAnsi" w:hAnsiTheme="majorHAnsi"/>
          <w:b/>
          <w:sz w:val="24"/>
        </w:rPr>
      </w:pPr>
    </w:p>
    <w:p w14:paraId="64A8C02C" w14:textId="5998A7A9" w:rsidR="007F2CD4" w:rsidRPr="00C44970" w:rsidRDefault="009F3B9A" w:rsidP="00C12545">
      <w:pPr>
        <w:pStyle w:val="Commentaire"/>
        <w:jc w:val="left"/>
        <w:rPr>
          <w:rFonts w:asciiTheme="majorHAnsi" w:hAnsiTheme="majorHAnsi"/>
          <w:b/>
          <w:sz w:val="24"/>
        </w:rPr>
      </w:pPr>
      <w:r w:rsidRPr="009F3B9A">
        <w:rPr>
          <w:rFonts w:asciiTheme="majorHAnsi" w:hAnsiTheme="majorHAnsi"/>
          <w:sz w:val="24"/>
        </w:rPr>
        <w:t>Ou envoyée par mèl à l’adresse suivante :</w:t>
      </w:r>
      <w:r>
        <w:rPr>
          <w:rFonts w:asciiTheme="majorHAnsi" w:hAnsiTheme="majorHAnsi"/>
          <w:b/>
          <w:sz w:val="24"/>
        </w:rPr>
        <w:t xml:space="preserve"> </w:t>
      </w:r>
      <w:r w:rsidR="001B1A54" w:rsidRPr="00C44970">
        <w:rPr>
          <w:rFonts w:asciiTheme="majorHAnsi" w:hAnsiTheme="majorHAnsi"/>
          <w:b/>
          <w:sz w:val="24"/>
        </w:rPr>
        <w:t>commandes.iae</w:t>
      </w:r>
      <w:r w:rsidR="007F2CD4" w:rsidRPr="00C44970">
        <w:rPr>
          <w:rFonts w:asciiTheme="majorHAnsi" w:hAnsiTheme="majorHAnsi"/>
          <w:b/>
          <w:sz w:val="24"/>
        </w:rPr>
        <w:t>@univ-paris1.fr</w:t>
      </w:r>
    </w:p>
    <w:p w14:paraId="788AF4B7" w14:textId="77777777" w:rsidR="008D3BC4" w:rsidRPr="00C44970" w:rsidRDefault="008D3BC4" w:rsidP="00C12545">
      <w:pPr>
        <w:rPr>
          <w:rFonts w:asciiTheme="majorHAnsi" w:hAnsiTheme="majorHAnsi"/>
          <w:sz w:val="24"/>
        </w:rPr>
      </w:pPr>
    </w:p>
    <w:p w14:paraId="29F218F2" w14:textId="70BE1521" w:rsidR="00673D24" w:rsidRPr="00C44970" w:rsidRDefault="00673D24" w:rsidP="00C12545">
      <w:pPr>
        <w:rPr>
          <w:rFonts w:asciiTheme="majorHAnsi" w:hAnsiTheme="majorHAnsi"/>
          <w:sz w:val="24"/>
        </w:rPr>
      </w:pPr>
      <w:r w:rsidRPr="00C44970">
        <w:rPr>
          <w:rFonts w:asciiTheme="majorHAnsi" w:hAnsiTheme="majorHAnsi"/>
          <w:sz w:val="24"/>
        </w:rPr>
        <w:t xml:space="preserve">La facture devra porter toutes les indications permettant d’identifier le </w:t>
      </w:r>
      <w:r w:rsidR="00EE575A">
        <w:rPr>
          <w:rFonts w:asciiTheme="majorHAnsi" w:hAnsiTheme="majorHAnsi"/>
          <w:sz w:val="24"/>
        </w:rPr>
        <w:t>t</w:t>
      </w:r>
      <w:r w:rsidR="00360CCB" w:rsidRPr="00C44970">
        <w:rPr>
          <w:rFonts w:asciiTheme="majorHAnsi" w:hAnsiTheme="majorHAnsi"/>
          <w:sz w:val="24"/>
        </w:rPr>
        <w:t>itulaire</w:t>
      </w:r>
      <w:r w:rsidRPr="00C44970">
        <w:rPr>
          <w:rFonts w:asciiTheme="majorHAnsi" w:hAnsiTheme="majorHAnsi"/>
          <w:sz w:val="24"/>
        </w:rPr>
        <w:t xml:space="preserve"> et de justifier le paiement demandé, soit :</w:t>
      </w:r>
    </w:p>
    <w:p w14:paraId="47B3BDA0" w14:textId="1F625555" w:rsidR="00673D24" w:rsidRPr="00C44970" w:rsidRDefault="005C023D" w:rsidP="00C12545">
      <w:pPr>
        <w:pStyle w:val="Listecouleur-Accent11"/>
        <w:numPr>
          <w:ilvl w:val="0"/>
          <w:numId w:val="6"/>
        </w:numPr>
        <w:rPr>
          <w:rFonts w:asciiTheme="majorHAnsi" w:hAnsiTheme="majorHAnsi"/>
          <w:sz w:val="24"/>
        </w:rPr>
      </w:pPr>
      <w:r w:rsidRPr="00C44970">
        <w:rPr>
          <w:rFonts w:asciiTheme="majorHAnsi" w:hAnsiTheme="majorHAnsi"/>
          <w:sz w:val="24"/>
        </w:rPr>
        <w:t>Les</w:t>
      </w:r>
      <w:r w:rsidR="00673D24" w:rsidRPr="00C44970">
        <w:rPr>
          <w:rFonts w:asciiTheme="majorHAnsi" w:hAnsiTheme="majorHAnsi"/>
          <w:sz w:val="24"/>
        </w:rPr>
        <w:t xml:space="preserve"> nom et adresse du </w:t>
      </w:r>
      <w:r w:rsidR="00EE575A">
        <w:rPr>
          <w:rFonts w:asciiTheme="majorHAnsi" w:hAnsiTheme="majorHAnsi"/>
          <w:sz w:val="24"/>
        </w:rPr>
        <w:t>t</w:t>
      </w:r>
      <w:r w:rsidR="00360CCB" w:rsidRPr="00C44970">
        <w:rPr>
          <w:rFonts w:asciiTheme="majorHAnsi" w:hAnsiTheme="majorHAnsi"/>
          <w:sz w:val="24"/>
        </w:rPr>
        <w:t>itulaire</w:t>
      </w:r>
      <w:r w:rsidR="00AD01D8" w:rsidRPr="00C44970">
        <w:rPr>
          <w:rFonts w:asciiTheme="majorHAnsi" w:hAnsiTheme="majorHAnsi"/>
          <w:sz w:val="24"/>
        </w:rPr>
        <w:t> ;</w:t>
      </w:r>
    </w:p>
    <w:p w14:paraId="557E886D" w14:textId="10325293" w:rsidR="00673D24" w:rsidRPr="00C44970" w:rsidRDefault="005C023D" w:rsidP="00C12545">
      <w:pPr>
        <w:pStyle w:val="Listecouleur-Accent11"/>
        <w:numPr>
          <w:ilvl w:val="0"/>
          <w:numId w:val="6"/>
        </w:numPr>
        <w:rPr>
          <w:rFonts w:asciiTheme="majorHAnsi" w:hAnsiTheme="majorHAnsi"/>
          <w:sz w:val="24"/>
        </w:rPr>
      </w:pPr>
      <w:r w:rsidRPr="00C44970">
        <w:rPr>
          <w:rFonts w:asciiTheme="majorHAnsi" w:hAnsiTheme="majorHAnsi"/>
          <w:sz w:val="24"/>
        </w:rPr>
        <w:t>Le</w:t>
      </w:r>
      <w:r w:rsidR="00673D24" w:rsidRPr="00C44970">
        <w:rPr>
          <w:rFonts w:asciiTheme="majorHAnsi" w:hAnsiTheme="majorHAnsi"/>
          <w:sz w:val="24"/>
        </w:rPr>
        <w:t xml:space="preserve"> numéro SIRET</w:t>
      </w:r>
      <w:r w:rsidR="00AD01D8" w:rsidRPr="00C44970">
        <w:rPr>
          <w:rFonts w:asciiTheme="majorHAnsi" w:hAnsiTheme="majorHAnsi"/>
          <w:sz w:val="24"/>
        </w:rPr>
        <w:t> ;</w:t>
      </w:r>
    </w:p>
    <w:p w14:paraId="7244AD9D" w14:textId="5F1CF204" w:rsidR="00673D24" w:rsidRPr="00C44970" w:rsidRDefault="005C023D" w:rsidP="00C12545">
      <w:pPr>
        <w:pStyle w:val="Listecouleur-Accent11"/>
        <w:numPr>
          <w:ilvl w:val="0"/>
          <w:numId w:val="6"/>
        </w:numPr>
        <w:rPr>
          <w:rFonts w:asciiTheme="majorHAnsi" w:hAnsiTheme="majorHAnsi"/>
          <w:sz w:val="24"/>
        </w:rPr>
      </w:pPr>
      <w:r w:rsidRPr="00C44970">
        <w:rPr>
          <w:rFonts w:asciiTheme="majorHAnsi" w:hAnsiTheme="majorHAnsi"/>
          <w:sz w:val="24"/>
        </w:rPr>
        <w:t>Le numéro de son compte bancaire ou postal tel qu’il est précisé dans l’acte d’engagement</w:t>
      </w:r>
      <w:r w:rsidR="00AD01D8" w:rsidRPr="00C44970">
        <w:rPr>
          <w:rFonts w:asciiTheme="majorHAnsi" w:hAnsiTheme="majorHAnsi"/>
          <w:sz w:val="24"/>
        </w:rPr>
        <w:t> ;</w:t>
      </w:r>
    </w:p>
    <w:p w14:paraId="4FC54F14" w14:textId="0C678A45" w:rsidR="00673D24" w:rsidRPr="00C44970" w:rsidRDefault="005C023D" w:rsidP="00C12545">
      <w:pPr>
        <w:pStyle w:val="Listecouleur-Accent11"/>
        <w:numPr>
          <w:ilvl w:val="0"/>
          <w:numId w:val="6"/>
        </w:numPr>
        <w:rPr>
          <w:rFonts w:asciiTheme="majorHAnsi" w:hAnsiTheme="majorHAnsi"/>
          <w:sz w:val="24"/>
        </w:rPr>
      </w:pPr>
      <w:r w:rsidRPr="00C44970">
        <w:rPr>
          <w:rFonts w:asciiTheme="majorHAnsi" w:hAnsiTheme="majorHAnsi"/>
          <w:sz w:val="24"/>
        </w:rPr>
        <w:t>Les références (n° et date) du marché et de chaqu</w:t>
      </w:r>
      <w:r w:rsidR="00673D24" w:rsidRPr="00C44970">
        <w:rPr>
          <w:rFonts w:asciiTheme="majorHAnsi" w:hAnsiTheme="majorHAnsi"/>
          <w:sz w:val="24"/>
        </w:rPr>
        <w:t>e avenant s’il y a lieu</w:t>
      </w:r>
      <w:r w:rsidR="00AD01D8" w:rsidRPr="00C44970">
        <w:rPr>
          <w:rFonts w:asciiTheme="majorHAnsi" w:hAnsiTheme="majorHAnsi"/>
          <w:sz w:val="24"/>
        </w:rPr>
        <w:t> ;</w:t>
      </w:r>
    </w:p>
    <w:p w14:paraId="5F779399" w14:textId="02911D84" w:rsidR="00673D24" w:rsidRPr="00C44970" w:rsidRDefault="005C023D" w:rsidP="00C12545">
      <w:pPr>
        <w:pStyle w:val="Listecouleur-Accent11"/>
        <w:numPr>
          <w:ilvl w:val="0"/>
          <w:numId w:val="6"/>
        </w:numPr>
        <w:rPr>
          <w:rFonts w:asciiTheme="majorHAnsi" w:hAnsiTheme="majorHAnsi"/>
          <w:sz w:val="24"/>
        </w:rPr>
      </w:pPr>
      <w:r w:rsidRPr="00C44970">
        <w:rPr>
          <w:rFonts w:asciiTheme="majorHAnsi" w:hAnsiTheme="majorHAnsi"/>
          <w:sz w:val="24"/>
        </w:rPr>
        <w:t>Les références (n° et date) de bons de commande</w:t>
      </w:r>
      <w:r w:rsidR="00AD01D8" w:rsidRPr="00C44970">
        <w:rPr>
          <w:rFonts w:asciiTheme="majorHAnsi" w:hAnsiTheme="majorHAnsi"/>
          <w:sz w:val="24"/>
        </w:rPr>
        <w:t> ;</w:t>
      </w:r>
    </w:p>
    <w:p w14:paraId="09662C8D" w14:textId="123CB95D" w:rsidR="00673D24" w:rsidRPr="00C44970" w:rsidRDefault="005C023D" w:rsidP="00C12545">
      <w:pPr>
        <w:pStyle w:val="Listecouleur-Accent11"/>
        <w:numPr>
          <w:ilvl w:val="0"/>
          <w:numId w:val="6"/>
        </w:numPr>
        <w:rPr>
          <w:rFonts w:asciiTheme="majorHAnsi" w:hAnsiTheme="majorHAnsi"/>
          <w:sz w:val="24"/>
        </w:rPr>
      </w:pPr>
      <w:r w:rsidRPr="00C44970">
        <w:rPr>
          <w:rFonts w:asciiTheme="majorHAnsi" w:hAnsiTheme="majorHAnsi"/>
          <w:sz w:val="24"/>
        </w:rPr>
        <w:t>La désignation de l’entité émettrice des bons de commande</w:t>
      </w:r>
      <w:r w:rsidR="00AD01D8" w:rsidRPr="00C44970">
        <w:rPr>
          <w:rFonts w:asciiTheme="majorHAnsi" w:hAnsiTheme="majorHAnsi"/>
          <w:sz w:val="24"/>
        </w:rPr>
        <w:t> ;</w:t>
      </w:r>
    </w:p>
    <w:p w14:paraId="2FC7DA24" w14:textId="1391C707" w:rsidR="00673D24" w:rsidRPr="00C44970" w:rsidRDefault="005C023D" w:rsidP="00C12545">
      <w:pPr>
        <w:pStyle w:val="Listecouleur-Accent11"/>
        <w:numPr>
          <w:ilvl w:val="0"/>
          <w:numId w:val="6"/>
        </w:numPr>
        <w:rPr>
          <w:rFonts w:asciiTheme="majorHAnsi" w:hAnsiTheme="majorHAnsi"/>
          <w:sz w:val="24"/>
        </w:rPr>
      </w:pPr>
      <w:r w:rsidRPr="00C44970">
        <w:rPr>
          <w:rFonts w:asciiTheme="majorHAnsi" w:hAnsiTheme="majorHAnsi"/>
          <w:sz w:val="24"/>
        </w:rPr>
        <w:t>La désignation et la qualité des fournitures livrées</w:t>
      </w:r>
      <w:r w:rsidR="00AD01D8" w:rsidRPr="00C44970">
        <w:rPr>
          <w:rFonts w:asciiTheme="majorHAnsi" w:hAnsiTheme="majorHAnsi"/>
          <w:sz w:val="24"/>
        </w:rPr>
        <w:t> ;</w:t>
      </w:r>
    </w:p>
    <w:p w14:paraId="21086468" w14:textId="6EA7BF19" w:rsidR="008348D7" w:rsidRPr="00C44970" w:rsidRDefault="005C023D" w:rsidP="00C12545">
      <w:pPr>
        <w:pStyle w:val="Listecouleur-Accent11"/>
        <w:numPr>
          <w:ilvl w:val="0"/>
          <w:numId w:val="6"/>
        </w:numPr>
        <w:rPr>
          <w:rFonts w:asciiTheme="majorHAnsi" w:hAnsiTheme="majorHAnsi"/>
          <w:sz w:val="24"/>
        </w:rPr>
      </w:pPr>
      <w:r w:rsidRPr="00C44970">
        <w:rPr>
          <w:rFonts w:asciiTheme="majorHAnsi" w:hAnsiTheme="majorHAnsi"/>
          <w:sz w:val="24"/>
        </w:rPr>
        <w:t>Le montant hors tva des fournitures, en appliquant les prix unita</w:t>
      </w:r>
      <w:r w:rsidR="00673D24" w:rsidRPr="00C44970">
        <w:rPr>
          <w:rFonts w:asciiTheme="majorHAnsi" w:hAnsiTheme="majorHAnsi"/>
          <w:sz w:val="24"/>
        </w:rPr>
        <w:t xml:space="preserve">ires en vigueur à </w:t>
      </w:r>
      <w:r w:rsidR="00AD01D8" w:rsidRPr="00C44970">
        <w:rPr>
          <w:rFonts w:asciiTheme="majorHAnsi" w:hAnsiTheme="majorHAnsi"/>
          <w:sz w:val="24"/>
        </w:rPr>
        <w:t>la date de commande</w:t>
      </w:r>
      <w:r w:rsidR="00673D24" w:rsidRPr="00C44970">
        <w:rPr>
          <w:rFonts w:asciiTheme="majorHAnsi" w:hAnsiTheme="majorHAnsi"/>
          <w:sz w:val="24"/>
        </w:rPr>
        <w:t xml:space="preserve"> ; </w:t>
      </w:r>
    </w:p>
    <w:p w14:paraId="5A00AEA4" w14:textId="27F9F3C9" w:rsidR="00673D24" w:rsidRPr="00C44970" w:rsidRDefault="005C023D" w:rsidP="00C12545">
      <w:pPr>
        <w:pStyle w:val="Listecouleur-Accent11"/>
        <w:numPr>
          <w:ilvl w:val="0"/>
          <w:numId w:val="6"/>
        </w:numPr>
        <w:rPr>
          <w:rFonts w:asciiTheme="majorHAnsi" w:hAnsiTheme="majorHAnsi"/>
          <w:sz w:val="24"/>
        </w:rPr>
      </w:pPr>
      <w:r w:rsidRPr="00C44970">
        <w:rPr>
          <w:rFonts w:asciiTheme="majorHAnsi" w:hAnsiTheme="majorHAnsi"/>
          <w:sz w:val="24"/>
        </w:rPr>
        <w:t>La date et l’heure de livraison ;</w:t>
      </w:r>
    </w:p>
    <w:p w14:paraId="6738A0A5" w14:textId="13494C35" w:rsidR="00673D24" w:rsidRPr="00C44970" w:rsidRDefault="005C023D" w:rsidP="00C12545">
      <w:pPr>
        <w:pStyle w:val="Listecouleur-Accent11"/>
        <w:numPr>
          <w:ilvl w:val="0"/>
          <w:numId w:val="6"/>
        </w:numPr>
        <w:rPr>
          <w:rFonts w:asciiTheme="majorHAnsi" w:hAnsiTheme="majorHAnsi"/>
          <w:sz w:val="24"/>
        </w:rPr>
      </w:pPr>
      <w:r w:rsidRPr="00C44970">
        <w:rPr>
          <w:rFonts w:asciiTheme="majorHAnsi" w:hAnsiTheme="majorHAnsi"/>
          <w:sz w:val="24"/>
        </w:rPr>
        <w:t>Le montant de la remise et, s’il y a lieu, du taux d’escompte</w:t>
      </w:r>
      <w:r w:rsidR="00AD01D8" w:rsidRPr="00C44970">
        <w:rPr>
          <w:rFonts w:asciiTheme="majorHAnsi" w:hAnsiTheme="majorHAnsi"/>
          <w:sz w:val="24"/>
        </w:rPr>
        <w:t> ;</w:t>
      </w:r>
    </w:p>
    <w:p w14:paraId="0277B655" w14:textId="249D115D" w:rsidR="00673D24" w:rsidRPr="00C44970" w:rsidRDefault="005C023D" w:rsidP="00C12545">
      <w:pPr>
        <w:pStyle w:val="Listecouleur-Accent11"/>
        <w:numPr>
          <w:ilvl w:val="0"/>
          <w:numId w:val="6"/>
        </w:numPr>
        <w:rPr>
          <w:rFonts w:asciiTheme="majorHAnsi" w:hAnsiTheme="majorHAnsi"/>
          <w:sz w:val="24"/>
        </w:rPr>
      </w:pPr>
      <w:r w:rsidRPr="00C44970">
        <w:rPr>
          <w:rFonts w:asciiTheme="majorHAnsi" w:hAnsiTheme="majorHAnsi"/>
          <w:sz w:val="24"/>
        </w:rPr>
        <w:t>Le montant HT après remise ou majoration</w:t>
      </w:r>
      <w:r w:rsidR="00AD01D8" w:rsidRPr="00C44970">
        <w:rPr>
          <w:rFonts w:asciiTheme="majorHAnsi" w:hAnsiTheme="majorHAnsi"/>
          <w:sz w:val="24"/>
        </w:rPr>
        <w:t> ;</w:t>
      </w:r>
    </w:p>
    <w:p w14:paraId="459A8CEE" w14:textId="297C4C58" w:rsidR="00673D24" w:rsidRPr="00C44970" w:rsidRDefault="005C023D" w:rsidP="00C12545">
      <w:pPr>
        <w:pStyle w:val="Listecouleur-Accent11"/>
        <w:numPr>
          <w:ilvl w:val="0"/>
          <w:numId w:val="6"/>
        </w:numPr>
        <w:rPr>
          <w:rFonts w:asciiTheme="majorHAnsi" w:hAnsiTheme="majorHAnsi"/>
          <w:sz w:val="24"/>
        </w:rPr>
      </w:pPr>
      <w:r w:rsidRPr="00C44970">
        <w:rPr>
          <w:rFonts w:asciiTheme="majorHAnsi" w:hAnsiTheme="majorHAnsi"/>
          <w:sz w:val="24"/>
        </w:rPr>
        <w:t>Le montant ttc</w:t>
      </w:r>
      <w:r w:rsidR="00AD01D8" w:rsidRPr="00C44970">
        <w:rPr>
          <w:rFonts w:asciiTheme="majorHAnsi" w:hAnsiTheme="majorHAnsi"/>
          <w:sz w:val="24"/>
        </w:rPr>
        <w:t> ;</w:t>
      </w:r>
    </w:p>
    <w:p w14:paraId="551D6D30" w14:textId="583E0F50" w:rsidR="00673D24" w:rsidRPr="00C44970" w:rsidRDefault="005C023D" w:rsidP="00C12545">
      <w:pPr>
        <w:pStyle w:val="Listecouleur-Accent11"/>
        <w:numPr>
          <w:ilvl w:val="0"/>
          <w:numId w:val="6"/>
        </w:numPr>
        <w:rPr>
          <w:rFonts w:asciiTheme="majorHAnsi" w:hAnsiTheme="majorHAnsi"/>
          <w:sz w:val="24"/>
        </w:rPr>
      </w:pPr>
      <w:r w:rsidRPr="00C44970">
        <w:rPr>
          <w:rFonts w:asciiTheme="majorHAnsi" w:hAnsiTheme="majorHAnsi"/>
          <w:sz w:val="24"/>
        </w:rPr>
        <w:t xml:space="preserve">La </w:t>
      </w:r>
      <w:r w:rsidR="00673D24" w:rsidRPr="00C44970">
        <w:rPr>
          <w:rFonts w:asciiTheme="majorHAnsi" w:hAnsiTheme="majorHAnsi"/>
          <w:sz w:val="24"/>
        </w:rPr>
        <w:t>date de la facture.</w:t>
      </w:r>
    </w:p>
    <w:p w14:paraId="41A3E573" w14:textId="2669303C" w:rsidR="009F3B9A" w:rsidRDefault="00673D24" w:rsidP="00C12545">
      <w:pPr>
        <w:rPr>
          <w:rFonts w:asciiTheme="majorHAnsi" w:hAnsiTheme="majorHAnsi"/>
          <w:sz w:val="24"/>
        </w:rPr>
      </w:pPr>
      <w:r w:rsidRPr="00C44970">
        <w:rPr>
          <w:rFonts w:asciiTheme="majorHAnsi" w:hAnsiTheme="majorHAnsi"/>
          <w:b/>
          <w:sz w:val="24"/>
        </w:rPr>
        <w:t>Attention </w:t>
      </w:r>
      <w:r w:rsidRPr="00C44970">
        <w:rPr>
          <w:rFonts w:asciiTheme="majorHAnsi" w:hAnsiTheme="majorHAnsi"/>
          <w:sz w:val="24"/>
        </w:rPr>
        <w:t xml:space="preserve">: les changements de compte bancaire ou postal doivent être signalés au service </w:t>
      </w:r>
      <w:r w:rsidR="007221BB" w:rsidRPr="00C44970">
        <w:rPr>
          <w:rFonts w:asciiTheme="majorHAnsi" w:hAnsiTheme="majorHAnsi"/>
          <w:sz w:val="24"/>
        </w:rPr>
        <w:t>financier</w:t>
      </w:r>
      <w:r w:rsidRPr="00C44970">
        <w:rPr>
          <w:rFonts w:asciiTheme="majorHAnsi" w:hAnsiTheme="majorHAnsi"/>
          <w:sz w:val="24"/>
        </w:rPr>
        <w:t xml:space="preserve"> de l’IAE de Paris avant de figurer sur la facturation.</w:t>
      </w:r>
    </w:p>
    <w:p w14:paraId="2C6C2AB7" w14:textId="77777777" w:rsidR="009F3B9A" w:rsidRDefault="009F3B9A" w:rsidP="00C12545">
      <w:pPr>
        <w:rPr>
          <w:rFonts w:asciiTheme="majorHAnsi" w:hAnsiTheme="majorHAnsi"/>
          <w:sz w:val="24"/>
        </w:rPr>
      </w:pPr>
    </w:p>
    <w:p w14:paraId="05B1DDAD" w14:textId="77777777" w:rsidR="009F3B9A" w:rsidRDefault="009F3B9A" w:rsidP="00C12545">
      <w:pPr>
        <w:rPr>
          <w:rFonts w:asciiTheme="majorHAnsi" w:hAnsiTheme="majorHAnsi"/>
        </w:rPr>
      </w:pPr>
      <w:r>
        <w:rPr>
          <w:rFonts w:asciiTheme="majorHAnsi" w:hAnsiTheme="majorHAnsi"/>
        </w:rPr>
        <w:lastRenderedPageBreak/>
        <w:t>L</w:t>
      </w:r>
      <w:r w:rsidR="007F2CD4" w:rsidRPr="00C44970">
        <w:rPr>
          <w:rFonts w:asciiTheme="majorHAnsi" w:hAnsiTheme="majorHAnsi"/>
        </w:rPr>
        <w:t xml:space="preserve">e mode de règlement est le virement par mandat administratif. Conformément au </w:t>
      </w:r>
      <w:r w:rsidR="007F2CD4" w:rsidRPr="00EE575A">
        <w:rPr>
          <w:rFonts w:asciiTheme="majorHAnsi" w:hAnsiTheme="majorHAnsi"/>
        </w:rPr>
        <w:t>décret n° 2013-269 du 29 mars 2013 relatif à la lutte contre les retards de paiement dans les contrats de la commande publique</w:t>
      </w:r>
      <w:r w:rsidR="007F2CD4" w:rsidRPr="00C44970">
        <w:rPr>
          <w:rFonts w:asciiTheme="majorHAnsi" w:hAnsiTheme="majorHAnsi"/>
        </w:rPr>
        <w:t xml:space="preserve">, le délai global de paiement est fixé à 30 jours. Le point de départ de ce délai est la date de réception de la facture par le service financier-pôle dépenses de l'IAE de Paris. Les délais interbancaires de paiement ne sont pas compris dans ce délai. </w:t>
      </w:r>
    </w:p>
    <w:p w14:paraId="69FB74E9" w14:textId="253BE44B" w:rsidR="007F2CD4" w:rsidRPr="009F3B9A" w:rsidRDefault="007F2CD4" w:rsidP="00C12545">
      <w:pPr>
        <w:rPr>
          <w:rFonts w:asciiTheme="majorHAnsi" w:hAnsiTheme="majorHAnsi"/>
          <w:sz w:val="24"/>
        </w:rPr>
      </w:pPr>
      <w:r w:rsidRPr="00C44970">
        <w:rPr>
          <w:rFonts w:asciiTheme="majorHAnsi" w:hAnsiTheme="majorHAnsi"/>
        </w:rPr>
        <w:t xml:space="preserve">Le dépassement du délai global de paiement ouvre de plein droit et sans autre formalité, pour le titulaire du marché ou le sous-traitant, le bénéfice d'intérêts moratoires dans les conditions fixées par le décret ci-dessus. </w:t>
      </w:r>
    </w:p>
    <w:p w14:paraId="718724B9" w14:textId="77777777" w:rsidR="009F3B9A" w:rsidRDefault="007F2CD4" w:rsidP="00C12545">
      <w:pPr>
        <w:pStyle w:val="NormalWeb"/>
        <w:spacing w:before="0" w:beforeAutospacing="0" w:after="0" w:afterAutospacing="0"/>
        <w:jc w:val="both"/>
        <w:rPr>
          <w:rFonts w:asciiTheme="majorHAnsi" w:hAnsiTheme="majorHAnsi"/>
        </w:rPr>
      </w:pPr>
      <w:r w:rsidRPr="00C44970">
        <w:rPr>
          <w:rFonts w:asciiTheme="majorHAnsi" w:hAnsiTheme="majorHAnsi"/>
        </w:rPr>
        <w:t xml:space="preserve">Le paiement s'effectuera en euros selon les règles de la comptabilité publique, par mandat administratif et virement au compte bancaire ouvert au nom du titulaire indiqué à l'acte d'engagement. En cas de changement de coordonnées bancaires en cours d’exécution du marché, le titulaire s’engage à en informer la personne publique par courrier recommandé avec accusé de réception auquel sera joint le nouveau relevé d’identité bancaire ou postal ou de caisse d’épargne. En outre le titulaire devra faire apparaître dans ce courrier le numéro du marché concerné ainsi que sa date de notification. Un avenant sera alors établi. </w:t>
      </w:r>
    </w:p>
    <w:p w14:paraId="7FC807F9" w14:textId="60A693F6" w:rsidR="007F2CD4" w:rsidRPr="00C44970" w:rsidRDefault="007F2CD4" w:rsidP="00C12545">
      <w:pPr>
        <w:pStyle w:val="NormalWeb"/>
        <w:spacing w:before="0" w:beforeAutospacing="0" w:after="0" w:afterAutospacing="0"/>
        <w:jc w:val="both"/>
        <w:rPr>
          <w:rFonts w:asciiTheme="majorHAnsi" w:hAnsiTheme="majorHAnsi"/>
        </w:rPr>
      </w:pPr>
      <w:r w:rsidRPr="00C44970">
        <w:rPr>
          <w:rFonts w:asciiTheme="majorHAnsi" w:hAnsiTheme="majorHAnsi"/>
        </w:rPr>
        <w:t xml:space="preserve">L'ordonnateur de la dépense est le Directeur de l'IAE de Paris. </w:t>
      </w:r>
    </w:p>
    <w:p w14:paraId="37E6E480" w14:textId="77777777" w:rsidR="007F2CD4" w:rsidRPr="00C44970" w:rsidRDefault="007F2CD4" w:rsidP="00C12545">
      <w:pPr>
        <w:pStyle w:val="NormalWeb"/>
        <w:spacing w:before="0" w:beforeAutospacing="0" w:after="0" w:afterAutospacing="0"/>
        <w:jc w:val="both"/>
        <w:rPr>
          <w:rFonts w:asciiTheme="majorHAnsi" w:hAnsiTheme="majorHAnsi"/>
        </w:rPr>
      </w:pPr>
      <w:r w:rsidRPr="00C44970">
        <w:rPr>
          <w:rFonts w:asciiTheme="majorHAnsi" w:hAnsiTheme="majorHAnsi"/>
        </w:rPr>
        <w:t xml:space="preserve">Le comptable assignataire de la dépense est l'Agent comptable de l'IAE de Paris. </w:t>
      </w:r>
    </w:p>
    <w:p w14:paraId="593E386A" w14:textId="18EA1BA1" w:rsidR="007F2CD4" w:rsidRDefault="007F2CD4" w:rsidP="00C12545">
      <w:pPr>
        <w:rPr>
          <w:rFonts w:asciiTheme="majorHAnsi" w:hAnsiTheme="majorHAnsi"/>
          <w:sz w:val="24"/>
        </w:rPr>
      </w:pPr>
    </w:p>
    <w:p w14:paraId="1B15CC23" w14:textId="0068A7A7" w:rsidR="007F43D5" w:rsidRDefault="007F43D5" w:rsidP="00C12545">
      <w:pPr>
        <w:tabs>
          <w:tab w:val="left" w:pos="709"/>
        </w:tabs>
        <w:ind w:left="567" w:hanging="425"/>
        <w:rPr>
          <w:rFonts w:asciiTheme="majorHAnsi" w:hAnsiTheme="majorHAnsi"/>
          <w:b/>
          <w:sz w:val="28"/>
          <w:szCs w:val="28"/>
        </w:rPr>
      </w:pPr>
    </w:p>
    <w:p w14:paraId="49F45D6D" w14:textId="77777777" w:rsidR="00C64954" w:rsidRDefault="00C64954" w:rsidP="00C12545">
      <w:pPr>
        <w:tabs>
          <w:tab w:val="left" w:pos="709"/>
        </w:tabs>
        <w:ind w:left="567" w:hanging="425"/>
        <w:rPr>
          <w:rFonts w:asciiTheme="majorHAnsi" w:hAnsiTheme="majorHAnsi"/>
          <w:b/>
          <w:sz w:val="28"/>
          <w:szCs w:val="28"/>
        </w:rPr>
      </w:pPr>
    </w:p>
    <w:p w14:paraId="029BA0E3" w14:textId="61948DEE" w:rsidR="00673D24" w:rsidRPr="00EF723A" w:rsidRDefault="009F3B9A" w:rsidP="00C12545">
      <w:pPr>
        <w:tabs>
          <w:tab w:val="left" w:pos="709"/>
        </w:tabs>
        <w:ind w:left="567" w:hanging="425"/>
        <w:rPr>
          <w:rFonts w:asciiTheme="majorHAnsi" w:hAnsiTheme="majorHAnsi"/>
          <w:b/>
          <w:sz w:val="28"/>
          <w:szCs w:val="28"/>
          <w:u w:val="single"/>
        </w:rPr>
      </w:pPr>
      <w:r>
        <w:rPr>
          <w:rFonts w:asciiTheme="majorHAnsi" w:hAnsiTheme="majorHAnsi"/>
          <w:b/>
          <w:sz w:val="28"/>
          <w:szCs w:val="28"/>
        </w:rPr>
        <w:t>10</w:t>
      </w:r>
      <w:r w:rsidR="00673D24" w:rsidRPr="00EF723A">
        <w:rPr>
          <w:rFonts w:asciiTheme="majorHAnsi" w:hAnsiTheme="majorHAnsi"/>
          <w:b/>
          <w:sz w:val="28"/>
          <w:szCs w:val="28"/>
        </w:rPr>
        <w:tab/>
        <w:t xml:space="preserve"> </w:t>
      </w:r>
      <w:r w:rsidR="00673D24" w:rsidRPr="00EF723A">
        <w:rPr>
          <w:rFonts w:asciiTheme="majorHAnsi" w:hAnsiTheme="majorHAnsi"/>
          <w:b/>
          <w:sz w:val="28"/>
          <w:szCs w:val="28"/>
          <w:u w:val="single"/>
        </w:rPr>
        <w:t>N</w:t>
      </w:r>
      <w:r w:rsidR="007221BB" w:rsidRPr="00EF723A">
        <w:rPr>
          <w:rFonts w:asciiTheme="majorHAnsi" w:hAnsiTheme="majorHAnsi"/>
          <w:b/>
          <w:sz w:val="28"/>
          <w:szCs w:val="28"/>
          <w:u w:val="single"/>
        </w:rPr>
        <w:t>antissement</w:t>
      </w:r>
    </w:p>
    <w:p w14:paraId="2777CE5A" w14:textId="77777777" w:rsidR="00673D24" w:rsidRPr="00C44970" w:rsidRDefault="00673D24" w:rsidP="00C12545">
      <w:pPr>
        <w:rPr>
          <w:rFonts w:asciiTheme="majorHAnsi" w:hAnsiTheme="majorHAnsi"/>
          <w:b/>
          <w:sz w:val="24"/>
        </w:rPr>
      </w:pPr>
    </w:p>
    <w:p w14:paraId="22177537" w14:textId="5464C2A0" w:rsidR="00673D24" w:rsidRPr="009F3B9A" w:rsidRDefault="005832DF" w:rsidP="00C12545">
      <w:pPr>
        <w:pStyle w:val="Listecouleur-Accent11"/>
        <w:ind w:left="0"/>
        <w:rPr>
          <w:rFonts w:asciiTheme="majorHAnsi" w:hAnsiTheme="majorHAnsi"/>
          <w:sz w:val="24"/>
        </w:rPr>
      </w:pPr>
      <w:r w:rsidRPr="00C44970">
        <w:rPr>
          <w:rFonts w:asciiTheme="majorHAnsi" w:hAnsiTheme="majorHAnsi"/>
          <w:sz w:val="24"/>
        </w:rPr>
        <w:t xml:space="preserve">Les créances résultant du marché peuvent être cédées ou nanties par le titulaire selon les dispositions des </w:t>
      </w:r>
      <w:r w:rsidRPr="009F3B9A">
        <w:rPr>
          <w:rFonts w:asciiTheme="majorHAnsi" w:hAnsiTheme="majorHAnsi"/>
          <w:sz w:val="24"/>
        </w:rPr>
        <w:t>articles 127 à 130 du décret 2016-360 du 25 mars 2016 relatif aux marchés publics.</w:t>
      </w:r>
    </w:p>
    <w:p w14:paraId="4AC96F0D" w14:textId="53BD7257" w:rsidR="005832DF" w:rsidRDefault="005832DF" w:rsidP="00C12545">
      <w:pPr>
        <w:pStyle w:val="Listecouleur-Accent11"/>
        <w:ind w:left="0"/>
        <w:rPr>
          <w:rFonts w:asciiTheme="majorHAnsi" w:hAnsiTheme="majorHAnsi"/>
          <w:sz w:val="24"/>
        </w:rPr>
      </w:pPr>
    </w:p>
    <w:p w14:paraId="25D84401" w14:textId="77777777" w:rsidR="00C12545" w:rsidRPr="00C44970" w:rsidRDefault="00C12545" w:rsidP="00C12545">
      <w:pPr>
        <w:pStyle w:val="Listecouleur-Accent11"/>
        <w:ind w:left="0"/>
        <w:rPr>
          <w:rFonts w:asciiTheme="majorHAnsi" w:hAnsiTheme="majorHAnsi"/>
          <w:sz w:val="24"/>
        </w:rPr>
      </w:pPr>
    </w:p>
    <w:p w14:paraId="78F88B2E" w14:textId="030ECF5C" w:rsidR="00673D24" w:rsidRPr="00EF723A" w:rsidRDefault="009F3B9A" w:rsidP="00C12545">
      <w:pPr>
        <w:tabs>
          <w:tab w:val="left" w:pos="709"/>
        </w:tabs>
        <w:ind w:left="567" w:hanging="425"/>
        <w:rPr>
          <w:rFonts w:asciiTheme="majorHAnsi" w:hAnsiTheme="majorHAnsi"/>
          <w:b/>
          <w:sz w:val="28"/>
          <w:szCs w:val="28"/>
        </w:rPr>
      </w:pPr>
      <w:r>
        <w:rPr>
          <w:rFonts w:asciiTheme="majorHAnsi" w:hAnsiTheme="majorHAnsi"/>
          <w:b/>
          <w:sz w:val="28"/>
          <w:szCs w:val="28"/>
        </w:rPr>
        <w:t>11</w:t>
      </w:r>
      <w:r w:rsidR="00673D24" w:rsidRPr="00EF723A">
        <w:rPr>
          <w:rFonts w:asciiTheme="majorHAnsi" w:hAnsiTheme="majorHAnsi"/>
          <w:b/>
          <w:sz w:val="28"/>
          <w:szCs w:val="28"/>
        </w:rPr>
        <w:tab/>
      </w:r>
      <w:r w:rsidR="00673D24" w:rsidRPr="00EF723A">
        <w:rPr>
          <w:rFonts w:asciiTheme="majorHAnsi" w:hAnsiTheme="majorHAnsi"/>
          <w:b/>
          <w:sz w:val="28"/>
          <w:szCs w:val="28"/>
          <w:u w:val="single"/>
        </w:rPr>
        <w:t>R</w:t>
      </w:r>
      <w:r w:rsidR="007221BB" w:rsidRPr="00EF723A">
        <w:rPr>
          <w:rFonts w:asciiTheme="majorHAnsi" w:hAnsiTheme="majorHAnsi"/>
          <w:b/>
          <w:sz w:val="28"/>
          <w:szCs w:val="28"/>
          <w:u w:val="single"/>
        </w:rPr>
        <w:t>ésiliation</w:t>
      </w:r>
    </w:p>
    <w:p w14:paraId="7200597F" w14:textId="77777777" w:rsidR="00673D24" w:rsidRPr="00C44970" w:rsidRDefault="00673D24" w:rsidP="00C12545">
      <w:pPr>
        <w:tabs>
          <w:tab w:val="left" w:pos="709"/>
        </w:tabs>
        <w:rPr>
          <w:rFonts w:asciiTheme="majorHAnsi" w:hAnsiTheme="majorHAnsi"/>
          <w:b/>
          <w:sz w:val="24"/>
        </w:rPr>
      </w:pPr>
    </w:p>
    <w:p w14:paraId="12764BA9" w14:textId="6498F5C6" w:rsidR="00673D24" w:rsidRPr="00C44970" w:rsidRDefault="007C0616" w:rsidP="00C12545">
      <w:pPr>
        <w:pStyle w:val="Listecouleur-Accent11"/>
        <w:ind w:left="0"/>
        <w:rPr>
          <w:rFonts w:asciiTheme="majorHAnsi" w:hAnsiTheme="majorHAnsi"/>
          <w:sz w:val="24"/>
        </w:rPr>
      </w:pPr>
      <w:r w:rsidRPr="00C44970">
        <w:rPr>
          <w:rFonts w:asciiTheme="majorHAnsi" w:hAnsiTheme="majorHAnsi"/>
          <w:sz w:val="24"/>
        </w:rPr>
        <w:t xml:space="preserve">Seules les stipulations du CCAG-TIC relatives à la résiliation du marché sont applicables. </w:t>
      </w:r>
    </w:p>
    <w:p w14:paraId="62936195" w14:textId="10C95B4E" w:rsidR="00D9371D" w:rsidRDefault="00D9371D" w:rsidP="00C12545">
      <w:pPr>
        <w:rPr>
          <w:rFonts w:asciiTheme="majorHAnsi" w:hAnsiTheme="majorHAnsi"/>
          <w:sz w:val="24"/>
        </w:rPr>
      </w:pPr>
    </w:p>
    <w:p w14:paraId="17C0828D" w14:textId="77777777" w:rsidR="00C12545" w:rsidRPr="00C44970" w:rsidRDefault="00C12545" w:rsidP="00C12545">
      <w:pPr>
        <w:rPr>
          <w:rFonts w:asciiTheme="majorHAnsi" w:hAnsiTheme="majorHAnsi"/>
          <w:sz w:val="24"/>
        </w:rPr>
      </w:pPr>
    </w:p>
    <w:p w14:paraId="120A8057" w14:textId="43F0AE47" w:rsidR="00673D24" w:rsidRPr="00EF723A" w:rsidRDefault="009F3B9A" w:rsidP="00C12545">
      <w:pPr>
        <w:ind w:left="567" w:hanging="425"/>
        <w:rPr>
          <w:rFonts w:asciiTheme="majorHAnsi" w:hAnsiTheme="majorHAnsi"/>
          <w:b/>
          <w:sz w:val="28"/>
          <w:szCs w:val="28"/>
          <w:u w:val="single"/>
        </w:rPr>
      </w:pPr>
      <w:r>
        <w:rPr>
          <w:rFonts w:asciiTheme="majorHAnsi" w:hAnsiTheme="majorHAnsi"/>
          <w:b/>
          <w:sz w:val="28"/>
          <w:szCs w:val="28"/>
        </w:rPr>
        <w:t>12</w:t>
      </w:r>
      <w:r w:rsidR="00673D24" w:rsidRPr="00EF723A">
        <w:rPr>
          <w:rFonts w:asciiTheme="majorHAnsi" w:hAnsiTheme="majorHAnsi"/>
          <w:sz w:val="28"/>
          <w:szCs w:val="28"/>
        </w:rPr>
        <w:tab/>
        <w:t xml:space="preserve"> </w:t>
      </w:r>
      <w:r w:rsidR="007221BB" w:rsidRPr="00EF723A">
        <w:rPr>
          <w:rFonts w:asciiTheme="majorHAnsi" w:hAnsiTheme="majorHAnsi"/>
          <w:b/>
          <w:sz w:val="28"/>
          <w:szCs w:val="28"/>
          <w:u w:val="single"/>
        </w:rPr>
        <w:t>Pénalités de retard</w:t>
      </w:r>
    </w:p>
    <w:p w14:paraId="37EA48D9" w14:textId="77777777" w:rsidR="00673D24" w:rsidRPr="00C44970" w:rsidRDefault="00673D24" w:rsidP="00C12545">
      <w:pPr>
        <w:rPr>
          <w:rFonts w:asciiTheme="majorHAnsi" w:hAnsiTheme="majorHAnsi"/>
          <w:b/>
          <w:sz w:val="24"/>
        </w:rPr>
      </w:pPr>
    </w:p>
    <w:p w14:paraId="70D496A7" w14:textId="77777777" w:rsidR="009E5E45" w:rsidRDefault="009E5E45" w:rsidP="00C12545">
      <w:pPr>
        <w:rPr>
          <w:rFonts w:asciiTheme="majorHAnsi" w:hAnsiTheme="majorHAnsi"/>
          <w:sz w:val="24"/>
        </w:rPr>
      </w:pPr>
      <w:r>
        <w:rPr>
          <w:rFonts w:asciiTheme="majorHAnsi" w:hAnsiTheme="majorHAnsi"/>
          <w:sz w:val="24"/>
        </w:rPr>
        <w:t>Par dérogation à l’article 14 du CCAG-TIC, l</w:t>
      </w:r>
      <w:r w:rsidR="00673D24" w:rsidRPr="00C44970">
        <w:rPr>
          <w:rFonts w:asciiTheme="majorHAnsi" w:hAnsiTheme="majorHAnsi"/>
          <w:sz w:val="24"/>
        </w:rPr>
        <w:t>es pénalités à appliquer en cas de ret</w:t>
      </w:r>
      <w:r w:rsidR="000565CD" w:rsidRPr="00C44970">
        <w:rPr>
          <w:rFonts w:asciiTheme="majorHAnsi" w:hAnsiTheme="majorHAnsi"/>
          <w:sz w:val="24"/>
        </w:rPr>
        <w:t xml:space="preserve">ard sont </w:t>
      </w:r>
      <w:r>
        <w:rPr>
          <w:rFonts w:asciiTheme="majorHAnsi" w:hAnsiTheme="majorHAnsi"/>
          <w:sz w:val="24"/>
        </w:rPr>
        <w:t xml:space="preserve">calculées ainsi : </w:t>
      </w:r>
    </w:p>
    <w:p w14:paraId="3A889662" w14:textId="6968F371" w:rsidR="009E5E45" w:rsidRDefault="009E5E45" w:rsidP="00C12545">
      <w:pPr>
        <w:rPr>
          <w:rFonts w:asciiTheme="majorHAnsi" w:hAnsiTheme="majorHAnsi"/>
          <w:sz w:val="24"/>
        </w:rPr>
      </w:pPr>
      <w:r>
        <w:rPr>
          <w:rFonts w:asciiTheme="majorHAnsi" w:hAnsiTheme="majorHAnsi"/>
          <w:sz w:val="24"/>
        </w:rPr>
        <w:t>P = valeur de la pénalité</w:t>
      </w:r>
    </w:p>
    <w:p w14:paraId="7364C8CE" w14:textId="77777777" w:rsidR="009E5E45" w:rsidRDefault="009E5E45" w:rsidP="00C12545">
      <w:pPr>
        <w:rPr>
          <w:rFonts w:asciiTheme="majorHAnsi" w:hAnsiTheme="majorHAnsi" w:cs="Arial"/>
          <w:sz w:val="24"/>
        </w:rPr>
      </w:pPr>
      <w:r>
        <w:rPr>
          <w:rFonts w:asciiTheme="majorHAnsi" w:hAnsiTheme="majorHAnsi"/>
          <w:sz w:val="24"/>
        </w:rPr>
        <w:t xml:space="preserve">V = </w:t>
      </w:r>
      <w:r w:rsidRPr="009E5E45">
        <w:rPr>
          <w:rFonts w:asciiTheme="majorHAnsi" w:hAnsiTheme="majorHAnsi" w:cs="Arial"/>
          <w:sz w:val="24"/>
        </w:rPr>
        <w:t>valeur des prestations sur laquelle est calculée la pénalité, cette valeur étant égale au montant en prix de base, hors variations de prix et hors du champ d’application de la TVA, de la partie des prestations en retard ou de l’ensemble des prestations, si le retard d’exécution d’une part</w:t>
      </w:r>
      <w:r>
        <w:rPr>
          <w:rFonts w:asciiTheme="majorHAnsi" w:hAnsiTheme="majorHAnsi" w:cs="Arial"/>
          <w:sz w:val="24"/>
        </w:rPr>
        <w:t>ie rend l’ensemble inutilisable</w:t>
      </w:r>
    </w:p>
    <w:p w14:paraId="7FCCBA89" w14:textId="0A12D869" w:rsidR="009E5E45" w:rsidRDefault="009E5E45" w:rsidP="00C12545">
      <w:pPr>
        <w:rPr>
          <w:rFonts w:asciiTheme="majorHAnsi" w:hAnsiTheme="majorHAnsi"/>
          <w:sz w:val="24"/>
        </w:rPr>
      </w:pPr>
      <w:r>
        <w:rPr>
          <w:rFonts w:asciiTheme="majorHAnsi" w:hAnsiTheme="majorHAnsi" w:cs="Arial"/>
          <w:sz w:val="24"/>
        </w:rPr>
        <w:t xml:space="preserve"> </w:t>
      </w:r>
      <w:r>
        <w:rPr>
          <w:rFonts w:asciiTheme="majorHAnsi" w:hAnsiTheme="majorHAnsi"/>
          <w:sz w:val="24"/>
        </w:rPr>
        <w:t>R</w:t>
      </w:r>
      <w:r w:rsidRPr="009E5E45">
        <w:rPr>
          <w:rFonts w:asciiTheme="majorHAnsi" w:hAnsiTheme="majorHAnsi" w:cs="Arial"/>
          <w:sz w:val="24"/>
        </w:rPr>
        <w:t xml:space="preserve"> </w:t>
      </w:r>
      <w:r>
        <w:rPr>
          <w:rFonts w:asciiTheme="majorHAnsi" w:hAnsiTheme="majorHAnsi" w:cs="Arial"/>
          <w:sz w:val="24"/>
        </w:rPr>
        <w:t xml:space="preserve">= </w:t>
      </w:r>
      <w:r w:rsidRPr="009E5E45">
        <w:rPr>
          <w:rFonts w:asciiTheme="majorHAnsi" w:hAnsiTheme="majorHAnsi" w:cs="Arial"/>
          <w:sz w:val="24"/>
        </w:rPr>
        <w:t>le nombre de jours de retard</w:t>
      </w:r>
    </w:p>
    <w:p w14:paraId="1D4F69EB" w14:textId="7140F237" w:rsidR="009E5E45" w:rsidRDefault="009E5E45" w:rsidP="00C12545">
      <w:pPr>
        <w:widowControl w:val="0"/>
        <w:autoSpaceDE w:val="0"/>
        <w:autoSpaceDN w:val="0"/>
        <w:adjustRightInd w:val="0"/>
        <w:jc w:val="center"/>
        <w:rPr>
          <w:rFonts w:asciiTheme="majorHAnsi" w:hAnsiTheme="majorHAnsi" w:cs="Arial"/>
          <w:sz w:val="24"/>
        </w:rPr>
      </w:pPr>
      <w:r w:rsidRPr="009E5E45">
        <w:rPr>
          <w:rFonts w:asciiTheme="majorHAnsi" w:hAnsiTheme="majorHAnsi" w:cs="Arial"/>
          <w:sz w:val="24"/>
        </w:rPr>
        <w:t xml:space="preserve">P = </w:t>
      </w:r>
      <w:r>
        <w:rPr>
          <w:rFonts w:asciiTheme="majorHAnsi" w:hAnsiTheme="majorHAnsi" w:cs="Arial"/>
          <w:sz w:val="24"/>
        </w:rPr>
        <w:t>V*R/20</w:t>
      </w:r>
    </w:p>
    <w:p w14:paraId="639913A7" w14:textId="77777777" w:rsidR="00512F1F" w:rsidRPr="009E5E45" w:rsidRDefault="00512F1F" w:rsidP="00C12545">
      <w:pPr>
        <w:widowControl w:val="0"/>
        <w:autoSpaceDE w:val="0"/>
        <w:autoSpaceDN w:val="0"/>
        <w:adjustRightInd w:val="0"/>
        <w:jc w:val="center"/>
        <w:rPr>
          <w:rFonts w:asciiTheme="majorHAnsi" w:hAnsiTheme="majorHAnsi" w:cs="Arial"/>
          <w:sz w:val="24"/>
        </w:rPr>
      </w:pPr>
    </w:p>
    <w:p w14:paraId="38212C89" w14:textId="69C675BA" w:rsidR="007C0616" w:rsidRPr="00C44970" w:rsidRDefault="007C0616" w:rsidP="00C12545">
      <w:pPr>
        <w:rPr>
          <w:rFonts w:asciiTheme="majorHAnsi" w:hAnsiTheme="majorHAnsi"/>
          <w:sz w:val="24"/>
        </w:rPr>
      </w:pPr>
    </w:p>
    <w:p w14:paraId="7FBD2977" w14:textId="728A46CF" w:rsidR="007C0616" w:rsidRPr="00EF723A" w:rsidRDefault="009F3B9A" w:rsidP="00C12545">
      <w:pPr>
        <w:ind w:left="567" w:hanging="425"/>
        <w:rPr>
          <w:rFonts w:asciiTheme="majorHAnsi" w:hAnsiTheme="majorHAnsi"/>
          <w:b/>
          <w:sz w:val="28"/>
          <w:szCs w:val="28"/>
        </w:rPr>
      </w:pPr>
      <w:r>
        <w:rPr>
          <w:rFonts w:asciiTheme="majorHAnsi" w:hAnsiTheme="majorHAnsi"/>
          <w:b/>
          <w:sz w:val="28"/>
          <w:szCs w:val="28"/>
        </w:rPr>
        <w:t>13</w:t>
      </w:r>
      <w:r w:rsidR="007C0616" w:rsidRPr="00EF723A">
        <w:rPr>
          <w:rFonts w:asciiTheme="majorHAnsi" w:hAnsiTheme="majorHAnsi"/>
          <w:b/>
          <w:sz w:val="28"/>
          <w:szCs w:val="28"/>
        </w:rPr>
        <w:tab/>
      </w:r>
      <w:r w:rsidR="007C0616" w:rsidRPr="00EF723A">
        <w:rPr>
          <w:rFonts w:asciiTheme="majorHAnsi" w:hAnsiTheme="majorHAnsi"/>
          <w:b/>
          <w:sz w:val="28"/>
          <w:szCs w:val="28"/>
          <w:u w:val="single"/>
        </w:rPr>
        <w:t xml:space="preserve">Clause de confidentialité </w:t>
      </w:r>
    </w:p>
    <w:p w14:paraId="7567F51C" w14:textId="64B4BDF6" w:rsidR="007C0616" w:rsidRPr="00C44970" w:rsidRDefault="007C0616" w:rsidP="00C12545">
      <w:pPr>
        <w:rPr>
          <w:rFonts w:asciiTheme="majorHAnsi" w:hAnsiTheme="majorHAnsi"/>
          <w:sz w:val="24"/>
        </w:rPr>
      </w:pPr>
    </w:p>
    <w:p w14:paraId="54A3E561" w14:textId="12C3B6DC" w:rsidR="007C0616" w:rsidRPr="00C44970" w:rsidRDefault="007C0616" w:rsidP="00C12545">
      <w:pPr>
        <w:rPr>
          <w:rFonts w:asciiTheme="majorHAnsi" w:hAnsiTheme="majorHAnsi"/>
          <w:sz w:val="24"/>
        </w:rPr>
      </w:pPr>
      <w:r w:rsidRPr="00C44970">
        <w:rPr>
          <w:rFonts w:asciiTheme="majorHAnsi" w:hAnsiTheme="majorHAnsi"/>
          <w:sz w:val="24"/>
        </w:rPr>
        <w:t xml:space="preserve">Conformément </w:t>
      </w:r>
      <w:r w:rsidR="005D24C0" w:rsidRPr="00C44970">
        <w:rPr>
          <w:rFonts w:asciiTheme="majorHAnsi" w:hAnsiTheme="majorHAnsi"/>
          <w:sz w:val="24"/>
        </w:rPr>
        <w:t>aux dispositions de</w:t>
      </w:r>
      <w:r w:rsidRPr="00C44970">
        <w:rPr>
          <w:rFonts w:asciiTheme="majorHAnsi" w:hAnsiTheme="majorHAnsi"/>
          <w:sz w:val="24"/>
        </w:rPr>
        <w:t xml:space="preserve"> </w:t>
      </w:r>
      <w:r w:rsidRPr="009F3B9A">
        <w:rPr>
          <w:rFonts w:asciiTheme="majorHAnsi" w:hAnsiTheme="majorHAnsi"/>
          <w:sz w:val="24"/>
        </w:rPr>
        <w:t>l'article 5 du C.C.A.G.-T.I.C.</w:t>
      </w:r>
      <w:r w:rsidRPr="00C44970">
        <w:rPr>
          <w:rFonts w:asciiTheme="majorHAnsi" w:hAnsiTheme="majorHAnsi"/>
          <w:sz w:val="24"/>
        </w:rPr>
        <w:t>, le titulaire</w:t>
      </w:r>
      <w:r w:rsidR="005D24C0" w:rsidRPr="00C44970">
        <w:rPr>
          <w:rFonts w:asciiTheme="majorHAnsi" w:hAnsiTheme="majorHAnsi"/>
          <w:sz w:val="24"/>
        </w:rPr>
        <w:t xml:space="preserve"> est tenu</w:t>
      </w:r>
      <w:r w:rsidRPr="00C44970">
        <w:rPr>
          <w:rFonts w:asciiTheme="majorHAnsi" w:hAnsiTheme="majorHAnsi"/>
          <w:sz w:val="24"/>
        </w:rPr>
        <w:t xml:space="preserve"> de respecter la confidentialité qui s’attache à la réalisation de la prestation et de faire preuve de discrétion </w:t>
      </w:r>
      <w:r w:rsidRPr="00C44970">
        <w:rPr>
          <w:rFonts w:asciiTheme="majorHAnsi" w:hAnsiTheme="majorHAnsi"/>
          <w:sz w:val="24"/>
        </w:rPr>
        <w:lastRenderedPageBreak/>
        <w:t>professionnelle.</w:t>
      </w:r>
      <w:r w:rsidR="005D24C0" w:rsidRPr="00C44970">
        <w:rPr>
          <w:rFonts w:asciiTheme="majorHAnsi" w:hAnsiTheme="majorHAnsi"/>
          <w:sz w:val="24"/>
        </w:rPr>
        <w:t xml:space="preserve"> </w:t>
      </w:r>
      <w:r w:rsidRPr="00C44970">
        <w:rPr>
          <w:rFonts w:asciiTheme="majorHAnsi" w:hAnsiTheme="majorHAnsi"/>
          <w:sz w:val="24"/>
        </w:rPr>
        <w:t xml:space="preserve">Sauf accord préalable du pouvoir adjudicateur, </w:t>
      </w:r>
      <w:r w:rsidR="005D24C0" w:rsidRPr="00C44970">
        <w:rPr>
          <w:rFonts w:asciiTheme="majorHAnsi" w:hAnsiTheme="majorHAnsi"/>
          <w:sz w:val="24"/>
        </w:rPr>
        <w:t>il doit s’interdire</w:t>
      </w:r>
      <w:r w:rsidRPr="00C44970">
        <w:rPr>
          <w:rFonts w:asciiTheme="majorHAnsi" w:hAnsiTheme="majorHAnsi"/>
          <w:sz w:val="24"/>
        </w:rPr>
        <w:t xml:space="preserve"> toute communication </w:t>
      </w:r>
      <w:r w:rsidR="005D24C0" w:rsidRPr="00C44970">
        <w:rPr>
          <w:rFonts w:asciiTheme="majorHAnsi" w:hAnsiTheme="majorHAnsi"/>
          <w:sz w:val="24"/>
        </w:rPr>
        <w:t>écrite ou verbale</w:t>
      </w:r>
      <w:r w:rsidRPr="00C44970">
        <w:rPr>
          <w:rFonts w:asciiTheme="majorHAnsi" w:hAnsiTheme="majorHAnsi"/>
          <w:sz w:val="24"/>
        </w:rPr>
        <w:t xml:space="preserve"> à des tiers, de faits, informatio</w:t>
      </w:r>
      <w:r w:rsidR="005D24C0" w:rsidRPr="00C44970">
        <w:rPr>
          <w:rFonts w:asciiTheme="majorHAnsi" w:hAnsiTheme="majorHAnsi"/>
          <w:sz w:val="24"/>
        </w:rPr>
        <w:t>ns, études et décisions dont il pourrai</w:t>
      </w:r>
      <w:r w:rsidRPr="00C44970">
        <w:rPr>
          <w:rFonts w:asciiTheme="majorHAnsi" w:hAnsiTheme="majorHAnsi"/>
          <w:sz w:val="24"/>
        </w:rPr>
        <w:t xml:space="preserve">t avoir </w:t>
      </w:r>
      <w:r w:rsidR="005D24C0" w:rsidRPr="00C44970">
        <w:rPr>
          <w:rFonts w:asciiTheme="majorHAnsi" w:hAnsiTheme="majorHAnsi"/>
          <w:sz w:val="24"/>
        </w:rPr>
        <w:t>connaissance.</w:t>
      </w:r>
    </w:p>
    <w:p w14:paraId="04E872B8" w14:textId="1B7BEC0C" w:rsidR="007C0616" w:rsidRPr="00C44970" w:rsidRDefault="007C0616" w:rsidP="00C12545">
      <w:pPr>
        <w:rPr>
          <w:rFonts w:asciiTheme="majorHAnsi" w:hAnsiTheme="majorHAnsi"/>
          <w:sz w:val="24"/>
        </w:rPr>
      </w:pPr>
      <w:r w:rsidRPr="00C44970">
        <w:rPr>
          <w:rFonts w:asciiTheme="majorHAnsi" w:hAnsiTheme="majorHAnsi"/>
          <w:sz w:val="24"/>
        </w:rPr>
        <w:t>Les supports (fichiers ou documents) transmis ou mis à disposition du prestataire dans le cadre de la prestation sont confidentiels. Ils ne peuvent en aucun cas, ni être utilisés pour un autre usage que celui de la réalisation du présent marché, ni transmis à des tiers et devront être restitués à l'administration à sa demande.</w:t>
      </w:r>
    </w:p>
    <w:p w14:paraId="6969554C" w14:textId="69C20E3B" w:rsidR="005D24C0" w:rsidRPr="00C44970" w:rsidRDefault="005D24C0" w:rsidP="00C12545">
      <w:pPr>
        <w:rPr>
          <w:rFonts w:asciiTheme="majorHAnsi" w:hAnsiTheme="majorHAnsi"/>
          <w:sz w:val="24"/>
        </w:rPr>
      </w:pPr>
    </w:p>
    <w:p w14:paraId="48B0F432" w14:textId="003CD1F3" w:rsidR="007221BB" w:rsidRPr="00C44970" w:rsidRDefault="007221BB" w:rsidP="00C12545">
      <w:pPr>
        <w:rPr>
          <w:rFonts w:asciiTheme="majorHAnsi" w:hAnsiTheme="majorHAnsi"/>
          <w:sz w:val="24"/>
        </w:rPr>
      </w:pPr>
    </w:p>
    <w:p w14:paraId="479504D8" w14:textId="6BD3F756" w:rsidR="00673D24" w:rsidRPr="00EF723A" w:rsidRDefault="007221BB" w:rsidP="00C12545">
      <w:pPr>
        <w:ind w:left="567" w:hanging="425"/>
        <w:rPr>
          <w:rFonts w:asciiTheme="majorHAnsi" w:hAnsiTheme="majorHAnsi"/>
          <w:b/>
          <w:sz w:val="28"/>
          <w:szCs w:val="28"/>
        </w:rPr>
      </w:pPr>
      <w:r w:rsidRPr="00EF723A">
        <w:rPr>
          <w:rFonts w:asciiTheme="majorHAnsi" w:hAnsiTheme="majorHAnsi"/>
          <w:b/>
          <w:sz w:val="28"/>
          <w:szCs w:val="28"/>
        </w:rPr>
        <w:t>1</w:t>
      </w:r>
      <w:r w:rsidR="000E0FB5">
        <w:rPr>
          <w:rFonts w:asciiTheme="majorHAnsi" w:hAnsiTheme="majorHAnsi"/>
          <w:b/>
          <w:sz w:val="28"/>
          <w:szCs w:val="28"/>
        </w:rPr>
        <w:t>4</w:t>
      </w:r>
      <w:r w:rsidR="00673D24" w:rsidRPr="00EF723A">
        <w:rPr>
          <w:rFonts w:asciiTheme="majorHAnsi" w:hAnsiTheme="majorHAnsi"/>
          <w:b/>
          <w:sz w:val="28"/>
          <w:szCs w:val="28"/>
        </w:rPr>
        <w:tab/>
      </w:r>
      <w:r w:rsidRPr="00EF723A">
        <w:rPr>
          <w:rFonts w:asciiTheme="majorHAnsi" w:hAnsiTheme="majorHAnsi"/>
          <w:b/>
          <w:sz w:val="28"/>
          <w:szCs w:val="28"/>
          <w:u w:val="single"/>
        </w:rPr>
        <w:t>Dérogations aux documents généraux</w:t>
      </w:r>
    </w:p>
    <w:p w14:paraId="3AE7B4C6" w14:textId="3DBD0859" w:rsidR="00673D24" w:rsidRDefault="00673D24" w:rsidP="00C12545">
      <w:pPr>
        <w:rPr>
          <w:rFonts w:asciiTheme="majorHAnsi" w:hAnsiTheme="majorHAnsi"/>
          <w:sz w:val="24"/>
        </w:rPr>
      </w:pPr>
    </w:p>
    <w:p w14:paraId="17F60E35" w14:textId="625B2FD1" w:rsidR="00B27689" w:rsidRPr="00C44970" w:rsidRDefault="00B27689" w:rsidP="00C12545">
      <w:pPr>
        <w:rPr>
          <w:rFonts w:asciiTheme="majorHAnsi" w:hAnsiTheme="majorHAnsi"/>
          <w:sz w:val="24"/>
        </w:rPr>
      </w:pPr>
      <w:r>
        <w:rPr>
          <w:rFonts w:asciiTheme="majorHAnsi" w:hAnsiTheme="majorHAnsi"/>
          <w:sz w:val="24"/>
        </w:rPr>
        <w:t>L’article 8 du présent CC</w:t>
      </w:r>
      <w:r w:rsidRPr="000E0FB5">
        <w:rPr>
          <w:rFonts w:asciiTheme="majorHAnsi" w:hAnsiTheme="majorHAnsi"/>
          <w:sz w:val="24"/>
        </w:rPr>
        <w:t>P</w:t>
      </w:r>
      <w:r w:rsidRPr="00C44970">
        <w:rPr>
          <w:rFonts w:asciiTheme="majorHAnsi" w:hAnsiTheme="majorHAnsi"/>
          <w:sz w:val="24"/>
        </w:rPr>
        <w:t xml:space="preserve"> </w:t>
      </w:r>
      <w:r>
        <w:rPr>
          <w:rFonts w:asciiTheme="majorHAnsi" w:hAnsiTheme="majorHAnsi"/>
          <w:sz w:val="24"/>
        </w:rPr>
        <w:t>déroge à l’article 11 du CCAG-TIC</w:t>
      </w:r>
    </w:p>
    <w:p w14:paraId="660EF5C1" w14:textId="13D075F1" w:rsidR="007221BB" w:rsidRPr="00C44970" w:rsidRDefault="003538BB" w:rsidP="00C12545">
      <w:pPr>
        <w:rPr>
          <w:rFonts w:asciiTheme="majorHAnsi" w:hAnsiTheme="majorHAnsi"/>
          <w:sz w:val="24"/>
          <w:shd w:val="clear" w:color="auto" w:fill="CCC0D9" w:themeFill="accent4" w:themeFillTint="66"/>
        </w:rPr>
      </w:pPr>
      <w:r w:rsidRPr="000E0FB5">
        <w:rPr>
          <w:rFonts w:asciiTheme="majorHAnsi" w:hAnsiTheme="majorHAnsi"/>
          <w:sz w:val="24"/>
        </w:rPr>
        <w:t>L’article 1</w:t>
      </w:r>
      <w:r w:rsidR="000E0FB5">
        <w:rPr>
          <w:rFonts w:asciiTheme="majorHAnsi" w:hAnsiTheme="majorHAnsi"/>
          <w:sz w:val="24"/>
        </w:rPr>
        <w:t>2</w:t>
      </w:r>
      <w:r w:rsidR="00B27689">
        <w:rPr>
          <w:rFonts w:asciiTheme="majorHAnsi" w:hAnsiTheme="majorHAnsi"/>
          <w:sz w:val="24"/>
        </w:rPr>
        <w:t xml:space="preserve"> du présent CC</w:t>
      </w:r>
      <w:r w:rsidR="00673D24" w:rsidRPr="000E0FB5">
        <w:rPr>
          <w:rFonts w:asciiTheme="majorHAnsi" w:hAnsiTheme="majorHAnsi"/>
          <w:sz w:val="24"/>
        </w:rPr>
        <w:t>P</w:t>
      </w:r>
      <w:r w:rsidR="00673D24" w:rsidRPr="00C44970">
        <w:rPr>
          <w:rFonts w:asciiTheme="majorHAnsi" w:hAnsiTheme="majorHAnsi"/>
          <w:sz w:val="24"/>
        </w:rPr>
        <w:t xml:space="preserve"> déroge à </w:t>
      </w:r>
      <w:r w:rsidR="00673D24" w:rsidRPr="000E0FB5">
        <w:rPr>
          <w:rFonts w:asciiTheme="majorHAnsi" w:hAnsiTheme="majorHAnsi"/>
          <w:sz w:val="24"/>
        </w:rPr>
        <w:t xml:space="preserve">l’article </w:t>
      </w:r>
      <w:r w:rsidR="000E0FB5">
        <w:rPr>
          <w:rFonts w:asciiTheme="majorHAnsi" w:hAnsiTheme="majorHAnsi"/>
          <w:sz w:val="24"/>
        </w:rPr>
        <w:t>14</w:t>
      </w:r>
      <w:r w:rsidR="005D24C0" w:rsidRPr="000E0FB5">
        <w:rPr>
          <w:rFonts w:asciiTheme="majorHAnsi" w:hAnsiTheme="majorHAnsi"/>
          <w:sz w:val="24"/>
        </w:rPr>
        <w:t xml:space="preserve"> du CCAG-TIC</w:t>
      </w:r>
      <w:r w:rsidR="005D24C0" w:rsidRPr="00C44970">
        <w:rPr>
          <w:rFonts w:asciiTheme="majorHAnsi" w:hAnsiTheme="majorHAnsi"/>
          <w:sz w:val="24"/>
        </w:rPr>
        <w:t xml:space="preserve">. </w:t>
      </w:r>
      <w:r w:rsidR="000565CD" w:rsidRPr="00C44970">
        <w:rPr>
          <w:rFonts w:asciiTheme="majorHAnsi" w:hAnsiTheme="majorHAnsi"/>
          <w:sz w:val="24"/>
        </w:rPr>
        <w:t xml:space="preserve"> </w:t>
      </w:r>
    </w:p>
    <w:p w14:paraId="424FC9C2" w14:textId="26AABB93" w:rsidR="00304773" w:rsidRDefault="00304773" w:rsidP="00C12545">
      <w:pPr>
        <w:rPr>
          <w:rFonts w:asciiTheme="majorHAnsi" w:hAnsiTheme="majorHAnsi"/>
          <w:b/>
          <w:sz w:val="24"/>
        </w:rPr>
      </w:pPr>
    </w:p>
    <w:p w14:paraId="7EEABF9B" w14:textId="77777777" w:rsidR="00C12545" w:rsidRPr="00C44970" w:rsidRDefault="00C12545" w:rsidP="00C12545">
      <w:pPr>
        <w:rPr>
          <w:rFonts w:asciiTheme="majorHAnsi" w:hAnsiTheme="majorHAnsi"/>
          <w:b/>
          <w:sz w:val="24"/>
        </w:rPr>
      </w:pPr>
    </w:p>
    <w:p w14:paraId="291DB80F" w14:textId="15C4042D" w:rsidR="00673D24" w:rsidRPr="00EF723A" w:rsidRDefault="007221BB" w:rsidP="00C12545">
      <w:pPr>
        <w:ind w:left="567" w:hanging="425"/>
        <w:rPr>
          <w:rFonts w:asciiTheme="majorHAnsi" w:hAnsiTheme="majorHAnsi"/>
          <w:b/>
          <w:sz w:val="28"/>
          <w:szCs w:val="28"/>
          <w:u w:val="single"/>
        </w:rPr>
      </w:pPr>
      <w:r w:rsidRPr="00EF723A">
        <w:rPr>
          <w:rFonts w:asciiTheme="majorHAnsi" w:hAnsiTheme="majorHAnsi"/>
          <w:b/>
          <w:sz w:val="28"/>
          <w:szCs w:val="28"/>
        </w:rPr>
        <w:t>1</w:t>
      </w:r>
      <w:r w:rsidR="00B27689">
        <w:rPr>
          <w:rFonts w:asciiTheme="majorHAnsi" w:hAnsiTheme="majorHAnsi"/>
          <w:b/>
          <w:sz w:val="28"/>
          <w:szCs w:val="28"/>
        </w:rPr>
        <w:t>5</w:t>
      </w:r>
      <w:r w:rsidR="00673D24" w:rsidRPr="00EF723A">
        <w:rPr>
          <w:rFonts w:asciiTheme="majorHAnsi" w:hAnsiTheme="majorHAnsi"/>
          <w:b/>
          <w:sz w:val="28"/>
          <w:szCs w:val="28"/>
        </w:rPr>
        <w:tab/>
      </w:r>
      <w:r w:rsidRPr="00EF723A">
        <w:rPr>
          <w:rFonts w:asciiTheme="majorHAnsi" w:hAnsiTheme="majorHAnsi"/>
          <w:b/>
          <w:sz w:val="28"/>
          <w:szCs w:val="28"/>
          <w:u w:val="single"/>
        </w:rPr>
        <w:t>Voies et délais de recours</w:t>
      </w:r>
    </w:p>
    <w:p w14:paraId="742AD4E3" w14:textId="77777777" w:rsidR="00673D24" w:rsidRPr="00C44970" w:rsidRDefault="00673D24" w:rsidP="00C12545">
      <w:pPr>
        <w:rPr>
          <w:rFonts w:asciiTheme="majorHAnsi" w:hAnsiTheme="majorHAnsi"/>
          <w:b/>
          <w:sz w:val="24"/>
        </w:rPr>
      </w:pPr>
    </w:p>
    <w:p w14:paraId="2A360692" w14:textId="77777777" w:rsidR="000565CD" w:rsidRPr="00C44970" w:rsidRDefault="00673D24" w:rsidP="00C12545">
      <w:pPr>
        <w:rPr>
          <w:rFonts w:asciiTheme="majorHAnsi" w:hAnsiTheme="majorHAnsi"/>
          <w:sz w:val="24"/>
        </w:rPr>
      </w:pPr>
      <w:r w:rsidRPr="00C44970">
        <w:rPr>
          <w:rFonts w:asciiTheme="majorHAnsi" w:hAnsiTheme="majorHAnsi"/>
          <w:sz w:val="24"/>
        </w:rPr>
        <w:t>Instance chargée des procédures de recours : </w:t>
      </w:r>
    </w:p>
    <w:p w14:paraId="75A6DD7C" w14:textId="77777777" w:rsidR="000565CD" w:rsidRPr="00C44970" w:rsidRDefault="000565CD" w:rsidP="00C12545">
      <w:pPr>
        <w:rPr>
          <w:rFonts w:asciiTheme="majorHAnsi" w:hAnsiTheme="majorHAnsi"/>
          <w:sz w:val="24"/>
        </w:rPr>
      </w:pPr>
    </w:p>
    <w:p w14:paraId="1D8BE512" w14:textId="77777777" w:rsidR="00673D24" w:rsidRPr="00C44970" w:rsidRDefault="00673D24" w:rsidP="00C12545">
      <w:pPr>
        <w:jc w:val="center"/>
        <w:rPr>
          <w:rFonts w:asciiTheme="majorHAnsi" w:hAnsiTheme="majorHAnsi"/>
          <w:sz w:val="24"/>
        </w:rPr>
      </w:pPr>
      <w:r w:rsidRPr="00C44970">
        <w:rPr>
          <w:rFonts w:asciiTheme="majorHAnsi" w:hAnsiTheme="majorHAnsi"/>
          <w:sz w:val="24"/>
        </w:rPr>
        <w:t>Tribunal administratif de Paris</w:t>
      </w:r>
    </w:p>
    <w:p w14:paraId="1ADFA34E" w14:textId="77777777" w:rsidR="00673D24" w:rsidRPr="00C44970" w:rsidRDefault="00673D24" w:rsidP="00C12545">
      <w:pPr>
        <w:jc w:val="center"/>
        <w:rPr>
          <w:rFonts w:asciiTheme="majorHAnsi" w:hAnsiTheme="majorHAnsi"/>
          <w:sz w:val="24"/>
        </w:rPr>
      </w:pPr>
      <w:r w:rsidRPr="00C44970">
        <w:rPr>
          <w:rFonts w:asciiTheme="majorHAnsi" w:hAnsiTheme="majorHAnsi"/>
          <w:sz w:val="24"/>
        </w:rPr>
        <w:t>7, rue de Jouy   75181 Paris Cedex 04</w:t>
      </w:r>
    </w:p>
    <w:p w14:paraId="1088B0EB" w14:textId="77777777" w:rsidR="00673D24" w:rsidRPr="00C44970" w:rsidRDefault="00F21AEF" w:rsidP="00C12545">
      <w:pPr>
        <w:jc w:val="center"/>
        <w:rPr>
          <w:rFonts w:asciiTheme="majorHAnsi" w:hAnsiTheme="majorHAnsi"/>
          <w:sz w:val="24"/>
        </w:rPr>
      </w:pPr>
      <w:r w:rsidRPr="00C44970">
        <w:rPr>
          <w:rFonts w:asciiTheme="majorHAnsi" w:hAnsiTheme="majorHAnsi"/>
          <w:sz w:val="24"/>
        </w:rPr>
        <w:t>Tél</w:t>
      </w:r>
      <w:r w:rsidR="00673D24" w:rsidRPr="00C44970">
        <w:rPr>
          <w:rFonts w:asciiTheme="majorHAnsi" w:hAnsiTheme="majorHAnsi"/>
          <w:sz w:val="24"/>
        </w:rPr>
        <w:t>. : 01</w:t>
      </w:r>
      <w:r w:rsidR="000565CD" w:rsidRPr="00C44970">
        <w:rPr>
          <w:rFonts w:asciiTheme="majorHAnsi" w:hAnsiTheme="majorHAnsi"/>
          <w:sz w:val="24"/>
        </w:rPr>
        <w:t xml:space="preserve"> </w:t>
      </w:r>
      <w:r w:rsidR="00673D24" w:rsidRPr="00C44970">
        <w:rPr>
          <w:rFonts w:asciiTheme="majorHAnsi" w:hAnsiTheme="majorHAnsi"/>
          <w:sz w:val="24"/>
        </w:rPr>
        <w:t>44</w:t>
      </w:r>
      <w:r w:rsidR="000565CD" w:rsidRPr="00C44970">
        <w:rPr>
          <w:rFonts w:asciiTheme="majorHAnsi" w:hAnsiTheme="majorHAnsi"/>
          <w:sz w:val="24"/>
        </w:rPr>
        <w:t xml:space="preserve"> </w:t>
      </w:r>
      <w:r w:rsidR="00673D24" w:rsidRPr="00C44970">
        <w:rPr>
          <w:rFonts w:asciiTheme="majorHAnsi" w:hAnsiTheme="majorHAnsi"/>
          <w:sz w:val="24"/>
        </w:rPr>
        <w:t>59</w:t>
      </w:r>
      <w:r w:rsidR="000565CD" w:rsidRPr="00C44970">
        <w:rPr>
          <w:rFonts w:asciiTheme="majorHAnsi" w:hAnsiTheme="majorHAnsi"/>
          <w:sz w:val="24"/>
        </w:rPr>
        <w:t xml:space="preserve"> </w:t>
      </w:r>
      <w:r w:rsidR="00673D24" w:rsidRPr="00C44970">
        <w:rPr>
          <w:rFonts w:asciiTheme="majorHAnsi" w:hAnsiTheme="majorHAnsi"/>
          <w:sz w:val="24"/>
        </w:rPr>
        <w:t>44</w:t>
      </w:r>
      <w:r w:rsidR="000565CD" w:rsidRPr="00C44970">
        <w:rPr>
          <w:rFonts w:asciiTheme="majorHAnsi" w:hAnsiTheme="majorHAnsi"/>
          <w:sz w:val="24"/>
        </w:rPr>
        <w:t xml:space="preserve"> </w:t>
      </w:r>
      <w:r w:rsidR="00673D24" w:rsidRPr="00C44970">
        <w:rPr>
          <w:rFonts w:asciiTheme="majorHAnsi" w:hAnsiTheme="majorHAnsi"/>
          <w:sz w:val="24"/>
        </w:rPr>
        <w:t xml:space="preserve">00 </w:t>
      </w:r>
      <w:r w:rsidR="000565CD" w:rsidRPr="00C44970">
        <w:rPr>
          <w:rFonts w:asciiTheme="majorHAnsi" w:hAnsiTheme="majorHAnsi"/>
          <w:sz w:val="24"/>
        </w:rPr>
        <w:t>/ T</w:t>
      </w:r>
      <w:r w:rsidR="00673D24" w:rsidRPr="00C44970">
        <w:rPr>
          <w:rFonts w:asciiTheme="majorHAnsi" w:hAnsiTheme="majorHAnsi"/>
          <w:sz w:val="24"/>
        </w:rPr>
        <w:t>élécopieur : 01</w:t>
      </w:r>
      <w:r w:rsidR="000565CD" w:rsidRPr="00C44970">
        <w:rPr>
          <w:rFonts w:asciiTheme="majorHAnsi" w:hAnsiTheme="majorHAnsi"/>
          <w:sz w:val="24"/>
        </w:rPr>
        <w:t xml:space="preserve"> </w:t>
      </w:r>
      <w:r w:rsidR="00673D24" w:rsidRPr="00C44970">
        <w:rPr>
          <w:rFonts w:asciiTheme="majorHAnsi" w:hAnsiTheme="majorHAnsi"/>
          <w:sz w:val="24"/>
        </w:rPr>
        <w:t>44</w:t>
      </w:r>
      <w:r w:rsidR="000565CD" w:rsidRPr="00C44970">
        <w:rPr>
          <w:rFonts w:asciiTheme="majorHAnsi" w:hAnsiTheme="majorHAnsi"/>
          <w:sz w:val="24"/>
        </w:rPr>
        <w:t xml:space="preserve"> </w:t>
      </w:r>
      <w:r w:rsidR="00673D24" w:rsidRPr="00C44970">
        <w:rPr>
          <w:rFonts w:asciiTheme="majorHAnsi" w:hAnsiTheme="majorHAnsi"/>
          <w:sz w:val="24"/>
        </w:rPr>
        <w:t>59</w:t>
      </w:r>
      <w:r w:rsidR="000565CD" w:rsidRPr="00C44970">
        <w:rPr>
          <w:rFonts w:asciiTheme="majorHAnsi" w:hAnsiTheme="majorHAnsi"/>
          <w:sz w:val="24"/>
        </w:rPr>
        <w:t xml:space="preserve"> </w:t>
      </w:r>
      <w:r w:rsidR="00673D24" w:rsidRPr="00C44970">
        <w:rPr>
          <w:rFonts w:asciiTheme="majorHAnsi" w:hAnsiTheme="majorHAnsi"/>
          <w:sz w:val="24"/>
        </w:rPr>
        <w:t>44</w:t>
      </w:r>
      <w:r w:rsidR="000565CD" w:rsidRPr="00C44970">
        <w:rPr>
          <w:rFonts w:asciiTheme="majorHAnsi" w:hAnsiTheme="majorHAnsi"/>
          <w:sz w:val="24"/>
        </w:rPr>
        <w:t xml:space="preserve"> </w:t>
      </w:r>
      <w:r w:rsidR="00673D24" w:rsidRPr="00C44970">
        <w:rPr>
          <w:rFonts w:asciiTheme="majorHAnsi" w:hAnsiTheme="majorHAnsi"/>
          <w:sz w:val="24"/>
        </w:rPr>
        <w:t>46</w:t>
      </w:r>
      <w:r w:rsidR="000565CD" w:rsidRPr="00C44970">
        <w:rPr>
          <w:rFonts w:asciiTheme="majorHAnsi" w:hAnsiTheme="majorHAnsi"/>
          <w:sz w:val="24"/>
        </w:rPr>
        <w:t xml:space="preserve"> </w:t>
      </w:r>
    </w:p>
    <w:p w14:paraId="66F7E915" w14:textId="77777777" w:rsidR="00673D24" w:rsidRPr="00C44970" w:rsidRDefault="00DF3A15" w:rsidP="00C12545">
      <w:pPr>
        <w:jc w:val="center"/>
        <w:rPr>
          <w:rFonts w:asciiTheme="majorHAnsi" w:hAnsiTheme="majorHAnsi"/>
          <w:sz w:val="24"/>
        </w:rPr>
      </w:pPr>
      <w:hyperlink r:id="rId12" w:history="1">
        <w:r w:rsidR="00673D24" w:rsidRPr="00C44970">
          <w:rPr>
            <w:rStyle w:val="Lienhypertexte"/>
            <w:rFonts w:asciiTheme="majorHAnsi" w:hAnsiTheme="majorHAnsi"/>
            <w:color w:val="auto"/>
            <w:sz w:val="24"/>
          </w:rPr>
          <w:t>greffe.ta-paris@juradm.fr</w:t>
        </w:r>
      </w:hyperlink>
      <w:r w:rsidR="00673D24" w:rsidRPr="00C44970">
        <w:rPr>
          <w:rFonts w:asciiTheme="majorHAnsi" w:hAnsiTheme="majorHAnsi"/>
          <w:sz w:val="24"/>
        </w:rPr>
        <w:t xml:space="preserve"> /</w:t>
      </w:r>
      <w:r w:rsidR="000565CD" w:rsidRPr="00C44970">
        <w:rPr>
          <w:rFonts w:asciiTheme="majorHAnsi" w:hAnsiTheme="majorHAnsi"/>
          <w:sz w:val="24"/>
        </w:rPr>
        <w:t xml:space="preserve"> </w:t>
      </w:r>
      <w:hyperlink r:id="rId13" w:history="1">
        <w:r w:rsidR="00673D24" w:rsidRPr="00C44970">
          <w:rPr>
            <w:rStyle w:val="Lienhypertexte"/>
            <w:rFonts w:asciiTheme="majorHAnsi" w:hAnsiTheme="majorHAnsi"/>
            <w:color w:val="auto"/>
            <w:sz w:val="24"/>
          </w:rPr>
          <w:t>http://paris.tribunal-administratif.fr</w:t>
        </w:r>
      </w:hyperlink>
    </w:p>
    <w:p w14:paraId="4FB5AFEE" w14:textId="77777777" w:rsidR="000565CD" w:rsidRPr="00C44970" w:rsidRDefault="000565CD" w:rsidP="00C12545">
      <w:pPr>
        <w:rPr>
          <w:rFonts w:asciiTheme="majorHAnsi" w:hAnsiTheme="majorHAnsi"/>
          <w:sz w:val="24"/>
        </w:rPr>
      </w:pPr>
    </w:p>
    <w:p w14:paraId="082B2D7C" w14:textId="77777777" w:rsidR="00673D24" w:rsidRPr="00C44970" w:rsidRDefault="00673D24" w:rsidP="00C12545">
      <w:pPr>
        <w:rPr>
          <w:rFonts w:asciiTheme="majorHAnsi" w:hAnsiTheme="majorHAnsi"/>
          <w:sz w:val="24"/>
        </w:rPr>
      </w:pPr>
      <w:r w:rsidRPr="00C44970">
        <w:rPr>
          <w:rFonts w:asciiTheme="majorHAnsi" w:hAnsiTheme="majorHAnsi"/>
          <w:sz w:val="24"/>
        </w:rPr>
        <w:t>référé précontractuel prévu aux articles L551-1 et suivants et R551-1 du code de justice administrative (CJA), délai ouvert jusqu’à la signature du marché ; référé contractuel prévu aux articles L551-13 et suivants et R551-7 et suivants du CJA, sous 31 jours après la parution de l’avis d’attribution ; recours en contestation de validité du marché selon la jurisprudence Conseil d’Etat-16 juillet 2007-Société Tropic-requête n°291545, sous 2 mois après la parution de l’avis d’attribution, arrêt consultable à www.legifrance.gouv.fr.</w:t>
      </w:r>
    </w:p>
    <w:p w14:paraId="7B7C905C" w14:textId="77777777" w:rsidR="00673D24" w:rsidRPr="00C44970" w:rsidRDefault="00673D24" w:rsidP="00C12545">
      <w:pPr>
        <w:rPr>
          <w:rFonts w:asciiTheme="majorHAnsi" w:hAnsiTheme="majorHAnsi"/>
          <w:sz w:val="24"/>
        </w:rPr>
      </w:pPr>
    </w:p>
    <w:p w14:paraId="5FD4C0C7" w14:textId="77777777" w:rsidR="005832DF" w:rsidRPr="00C44970" w:rsidRDefault="005832DF" w:rsidP="00D42337">
      <w:pPr>
        <w:ind w:left="3402"/>
        <w:rPr>
          <w:rFonts w:asciiTheme="majorHAnsi" w:hAnsiTheme="majorHAnsi"/>
          <w:sz w:val="24"/>
        </w:rPr>
      </w:pPr>
      <w:bookmarkStart w:id="8" w:name="_GoBack"/>
      <w:bookmarkEnd w:id="8"/>
    </w:p>
    <w:sectPr w:rsidR="005832DF" w:rsidRPr="00C44970" w:rsidSect="00C12545">
      <w:pgSz w:w="11907" w:h="16840"/>
      <w:pgMar w:top="1418" w:right="992" w:bottom="1418"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6D6DC" w14:textId="77777777" w:rsidR="00DF3A15" w:rsidRDefault="00DF3A15">
      <w:r>
        <w:separator/>
      </w:r>
    </w:p>
  </w:endnote>
  <w:endnote w:type="continuationSeparator" w:id="0">
    <w:p w14:paraId="14ADD11A" w14:textId="77777777" w:rsidR="00DF3A15" w:rsidRDefault="00DF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8A926" w14:textId="048D40DD" w:rsidR="00426584" w:rsidRDefault="007F2CD4" w:rsidP="00673D24">
    <w:pPr>
      <w:pStyle w:val="Pieddepage"/>
      <w:tabs>
        <w:tab w:val="left" w:pos="7331"/>
      </w:tabs>
      <w:rPr>
        <w:rStyle w:val="Numrodepage"/>
        <w:snapToGrid w:val="0"/>
      </w:rPr>
    </w:pPr>
    <w:r>
      <w:rPr>
        <w:rStyle w:val="Numrodepage"/>
      </w:rPr>
      <w:tab/>
    </w:r>
    <w:r>
      <w:rPr>
        <w:rStyle w:val="Numrodepage"/>
        <w:snapToGrid w:val="0"/>
      </w:rPr>
      <w:t xml:space="preserve">Page </w:t>
    </w:r>
    <w:r>
      <w:rPr>
        <w:rStyle w:val="Numrodepage"/>
        <w:snapToGrid w:val="0"/>
      </w:rPr>
      <w:fldChar w:fldCharType="begin"/>
    </w:r>
    <w:r>
      <w:rPr>
        <w:rStyle w:val="Numrodepage"/>
        <w:snapToGrid w:val="0"/>
      </w:rPr>
      <w:instrText xml:space="preserve"> PAGE </w:instrText>
    </w:r>
    <w:r>
      <w:rPr>
        <w:rStyle w:val="Numrodepage"/>
        <w:snapToGrid w:val="0"/>
      </w:rPr>
      <w:fldChar w:fldCharType="separate"/>
    </w:r>
    <w:r w:rsidR="006F0B7D">
      <w:rPr>
        <w:rStyle w:val="Numrodepage"/>
        <w:noProof/>
        <w:snapToGrid w:val="0"/>
      </w:rPr>
      <w:t>2</w:t>
    </w:r>
    <w:r>
      <w:rPr>
        <w:rStyle w:val="Numrodepage"/>
        <w:snapToGrid w:val="0"/>
      </w:rPr>
      <w:fldChar w:fldCharType="end"/>
    </w:r>
    <w:r>
      <w:rPr>
        <w:rStyle w:val="Numrodepage"/>
        <w:snapToGrid w:val="0"/>
      </w:rPr>
      <w:t xml:space="preserve"> sur </w:t>
    </w:r>
    <w:r>
      <w:rPr>
        <w:rStyle w:val="Numrodepage"/>
        <w:snapToGrid w:val="0"/>
      </w:rPr>
      <w:fldChar w:fldCharType="begin"/>
    </w:r>
    <w:r>
      <w:rPr>
        <w:rStyle w:val="Numrodepage"/>
        <w:snapToGrid w:val="0"/>
      </w:rPr>
      <w:instrText xml:space="preserve"> NUMPAGES </w:instrText>
    </w:r>
    <w:r>
      <w:rPr>
        <w:rStyle w:val="Numrodepage"/>
        <w:snapToGrid w:val="0"/>
      </w:rPr>
      <w:fldChar w:fldCharType="separate"/>
    </w:r>
    <w:r w:rsidR="006F0B7D">
      <w:rPr>
        <w:rStyle w:val="Numrodepage"/>
        <w:noProof/>
        <w:snapToGrid w:val="0"/>
      </w:rPr>
      <w:t>12</w:t>
    </w:r>
    <w:r>
      <w:rPr>
        <w:rStyle w:val="Numrodepage"/>
        <w:snapToGrid w:val="0"/>
      </w:rPr>
      <w:fldChar w:fldCharType="end"/>
    </w:r>
  </w:p>
  <w:p w14:paraId="2C0D3BEA" w14:textId="77777777" w:rsidR="00426584" w:rsidRDefault="007F2CD4" w:rsidP="00426584">
    <w:pPr>
      <w:pStyle w:val="Pieddepage"/>
      <w:ind w:right="-307"/>
      <w:rPr>
        <w:rStyle w:val="Numrodepage"/>
        <w:snapToGrid w:val="0"/>
      </w:rPr>
    </w:pPr>
    <w:r>
      <w:rPr>
        <w:rStyle w:val="Numrodepage"/>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34296" w14:textId="77777777" w:rsidR="00426584" w:rsidRDefault="00426584" w:rsidP="00426584">
    <w:pPr>
      <w:pStyle w:val="Pieddepage"/>
      <w:ind w:right="-307"/>
      <w:rPr>
        <w:rStyle w:val="Numrodepage"/>
        <w:snapToGrid w:val="0"/>
      </w:rPr>
    </w:pPr>
  </w:p>
  <w:p w14:paraId="0030E322" w14:textId="77777777" w:rsidR="00507D6C" w:rsidRDefault="00507D6C" w:rsidP="00507D6C">
    <w:pPr>
      <w:pStyle w:val="Pieddepage"/>
    </w:pPr>
    <w:r>
      <w:rPr>
        <w:noProof/>
      </w:rPr>
      <w:drawing>
        <wp:anchor distT="0" distB="0" distL="114300" distR="114300" simplePos="0" relativeHeight="251666432" behindDoc="0" locked="0" layoutInCell="1" allowOverlap="1" wp14:anchorId="6E864FCA" wp14:editId="31AFDA51">
          <wp:simplePos x="0" y="0"/>
          <wp:positionH relativeFrom="column">
            <wp:posOffset>-222885</wp:posOffset>
          </wp:positionH>
          <wp:positionV relativeFrom="paragraph">
            <wp:posOffset>12065</wp:posOffset>
          </wp:positionV>
          <wp:extent cx="3857625" cy="657225"/>
          <wp:effectExtent l="0" t="0" r="9525" b="9525"/>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 lett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82225" cy="66141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425726DF" wp14:editId="247B23DD">
          <wp:simplePos x="0" y="0"/>
          <wp:positionH relativeFrom="column">
            <wp:posOffset>4878705</wp:posOffset>
          </wp:positionH>
          <wp:positionV relativeFrom="paragraph">
            <wp:posOffset>-767715</wp:posOffset>
          </wp:positionV>
          <wp:extent cx="2189480" cy="457200"/>
          <wp:effectExtent l="889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GS courrier.jpg"/>
                  <pic:cNvPicPr/>
                </pic:nvPicPr>
                <pic:blipFill>
                  <a:blip r:embed="rId2">
                    <a:extLst>
                      <a:ext uri="{28A0092B-C50C-407E-A947-70E740481C1C}">
                        <a14:useLocalDpi xmlns:a14="http://schemas.microsoft.com/office/drawing/2010/main" val="0"/>
                      </a:ext>
                    </a:extLst>
                  </a:blip>
                  <a:stretch>
                    <a:fillRect/>
                  </a:stretch>
                </pic:blipFill>
                <pic:spPr>
                  <a:xfrm rot="16200000">
                    <a:off x="0" y="0"/>
                    <a:ext cx="2189480" cy="457200"/>
                  </a:xfrm>
                  <a:prstGeom prst="rect">
                    <a:avLst/>
                  </a:prstGeom>
                </pic:spPr>
              </pic:pic>
            </a:graphicData>
          </a:graphic>
          <wp14:sizeRelH relativeFrom="page">
            <wp14:pctWidth>0</wp14:pctWidth>
          </wp14:sizeRelH>
          <wp14:sizeRelV relativeFrom="page">
            <wp14:pctHeight>0</wp14:pctHeight>
          </wp14:sizeRelV>
        </wp:anchor>
      </w:drawing>
    </w:r>
  </w:p>
  <w:p w14:paraId="2ECEAA08" w14:textId="77777777" w:rsidR="00507D6C" w:rsidRDefault="00507D6C" w:rsidP="00426584">
    <w:pPr>
      <w:pStyle w:val="Pieddepage"/>
      <w:ind w:right="-307"/>
      <w:rPr>
        <w:rFonts w:ascii="Franklin Gothic Demi" w:eastAsiaTheme="minorHAnsi" w:hAnsi="Franklin Gothic Demi" w:cstheme="minorBidi"/>
        <w:noProof/>
        <w:color w:val="808080" w:themeColor="background1" w:themeShade="80"/>
        <w:sz w:val="18"/>
        <w:szCs w:val="20"/>
      </w:rPr>
    </w:pPr>
  </w:p>
  <w:p w14:paraId="307DBBD1" w14:textId="77777777" w:rsidR="00507D6C" w:rsidRDefault="00507D6C">
    <w:pPr>
      <w:pStyle w:val="Pieddepage"/>
      <w:rPr>
        <w:rStyle w:val="Numrodepage"/>
      </w:rPr>
    </w:pPr>
  </w:p>
  <w:p w14:paraId="379B649B" w14:textId="4333ACEC" w:rsidR="00426584" w:rsidRDefault="007F2CD4">
    <w:pPr>
      <w:pStyle w:val="Pieddepage"/>
      <w:rPr>
        <w:rStyle w:val="Numrodepage"/>
      </w:rPr>
    </w:pPr>
    <w:r>
      <w:rPr>
        <w:rStyle w:val="Numrodepage"/>
      </w:rPr>
      <w:tab/>
    </w:r>
  </w:p>
  <w:p w14:paraId="1E9DDC28" w14:textId="4F7CD12B" w:rsidR="007F2CD4" w:rsidRDefault="007F2CD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77494" w14:textId="77777777" w:rsidR="00DF3A15" w:rsidRDefault="00DF3A15">
      <w:r>
        <w:separator/>
      </w:r>
    </w:p>
  </w:footnote>
  <w:footnote w:type="continuationSeparator" w:id="0">
    <w:p w14:paraId="62DA781D" w14:textId="77777777" w:rsidR="00DF3A15" w:rsidRDefault="00DF3A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E21EA" w14:textId="3EDC8934" w:rsidR="007F2CD4" w:rsidRDefault="005C023D" w:rsidP="00A03FA8">
    <w:pPr>
      <w:pStyle w:val="En-tte"/>
      <w:pBdr>
        <w:bottom w:val="none" w:sz="0" w:space="0" w:color="auto"/>
      </w:pBdr>
    </w:pPr>
    <w:r>
      <w:t>CC</w:t>
    </w:r>
    <w:r w:rsidR="001C5447">
      <w:t>P – REFONTE DU SITE WEB – 2018ML</w:t>
    </w:r>
    <w:r w:rsidR="001A4253">
      <w:t>SPLCOM03</w:t>
    </w:r>
  </w:p>
  <w:p w14:paraId="4F27C9A6" w14:textId="77777777" w:rsidR="007F2CD4" w:rsidRPr="007F369C" w:rsidRDefault="007F2CD4" w:rsidP="007F369C">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B94"/>
    <w:multiLevelType w:val="hybridMultilevel"/>
    <w:tmpl w:val="5C603630"/>
    <w:lvl w:ilvl="0" w:tplc="4DF04C6A">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15:restartNumberingAfterBreak="0">
    <w:nsid w:val="00863170"/>
    <w:multiLevelType w:val="hybridMultilevel"/>
    <w:tmpl w:val="955EC076"/>
    <w:lvl w:ilvl="0" w:tplc="1EDE9932">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15:restartNumberingAfterBreak="0">
    <w:nsid w:val="08376471"/>
    <w:multiLevelType w:val="hybridMultilevel"/>
    <w:tmpl w:val="D1A2DEB0"/>
    <w:lvl w:ilvl="0" w:tplc="9814C31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0A115A5F"/>
    <w:multiLevelType w:val="hybridMultilevel"/>
    <w:tmpl w:val="F3268E0C"/>
    <w:lvl w:ilvl="0" w:tplc="E496FF0C">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57FC4"/>
    <w:multiLevelType w:val="hybridMultilevel"/>
    <w:tmpl w:val="A72E244A"/>
    <w:lvl w:ilvl="0" w:tplc="040C0001">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E97934"/>
    <w:multiLevelType w:val="multilevel"/>
    <w:tmpl w:val="67B04D5E"/>
    <w:lvl w:ilvl="0">
      <w:start w:val="2"/>
      <w:numFmt w:val="decimal"/>
      <w:lvlText w:val="%1"/>
      <w:lvlJc w:val="left"/>
      <w:pPr>
        <w:ind w:left="502" w:hanging="360"/>
      </w:pPr>
      <w:rPr>
        <w:rFonts w:hint="default"/>
      </w:rPr>
    </w:lvl>
    <w:lvl w:ilvl="1">
      <w:start w:val="1"/>
      <w:numFmt w:val="decimal"/>
      <w:isLgl/>
      <w:lvlText w:val="%1.%2"/>
      <w:lvlJc w:val="left"/>
      <w:pPr>
        <w:ind w:left="502" w:hanging="360"/>
      </w:pPr>
      <w:rPr>
        <w:rFonts w:ascii="Cambria" w:hAnsi="Cambria" w:hint="default"/>
        <w:b w:val="0"/>
        <w:i w:val="0"/>
        <w:sz w:val="22"/>
      </w:rPr>
    </w:lvl>
    <w:lvl w:ilvl="2">
      <w:start w:val="1"/>
      <w:numFmt w:val="decimal"/>
      <w:isLgl/>
      <w:lvlText w:val="%1.%2.%3"/>
      <w:lvlJc w:val="left"/>
      <w:pPr>
        <w:ind w:left="862" w:hanging="720"/>
      </w:pPr>
      <w:rPr>
        <w:rFonts w:ascii="Cambria" w:hAnsi="Cambria" w:hint="default"/>
        <w:b w:val="0"/>
        <w:i w:val="0"/>
        <w:sz w:val="22"/>
      </w:rPr>
    </w:lvl>
    <w:lvl w:ilvl="3">
      <w:start w:val="1"/>
      <w:numFmt w:val="decimal"/>
      <w:isLgl/>
      <w:lvlText w:val="%1.%2.%3.%4"/>
      <w:lvlJc w:val="left"/>
      <w:pPr>
        <w:ind w:left="862" w:hanging="720"/>
      </w:pPr>
      <w:rPr>
        <w:rFonts w:ascii="Cambria" w:hAnsi="Cambria" w:hint="default"/>
        <w:b w:val="0"/>
        <w:i w:val="0"/>
        <w:sz w:val="22"/>
      </w:rPr>
    </w:lvl>
    <w:lvl w:ilvl="4">
      <w:start w:val="1"/>
      <w:numFmt w:val="decimal"/>
      <w:isLgl/>
      <w:lvlText w:val="%1.%2.%3.%4.%5"/>
      <w:lvlJc w:val="left"/>
      <w:pPr>
        <w:ind w:left="1222" w:hanging="1080"/>
      </w:pPr>
      <w:rPr>
        <w:rFonts w:ascii="Cambria" w:hAnsi="Cambria" w:hint="default"/>
        <w:b w:val="0"/>
        <w:i w:val="0"/>
        <w:sz w:val="22"/>
      </w:rPr>
    </w:lvl>
    <w:lvl w:ilvl="5">
      <w:start w:val="1"/>
      <w:numFmt w:val="decimal"/>
      <w:isLgl/>
      <w:lvlText w:val="%1.%2.%3.%4.%5.%6"/>
      <w:lvlJc w:val="left"/>
      <w:pPr>
        <w:ind w:left="1222" w:hanging="1080"/>
      </w:pPr>
      <w:rPr>
        <w:rFonts w:ascii="Cambria" w:hAnsi="Cambria" w:hint="default"/>
        <w:b w:val="0"/>
        <w:i w:val="0"/>
        <w:sz w:val="22"/>
      </w:rPr>
    </w:lvl>
    <w:lvl w:ilvl="6">
      <w:start w:val="1"/>
      <w:numFmt w:val="decimal"/>
      <w:isLgl/>
      <w:lvlText w:val="%1.%2.%3.%4.%5.%6.%7"/>
      <w:lvlJc w:val="left"/>
      <w:pPr>
        <w:ind w:left="1582" w:hanging="1440"/>
      </w:pPr>
      <w:rPr>
        <w:rFonts w:ascii="Cambria" w:hAnsi="Cambria" w:hint="default"/>
        <w:b w:val="0"/>
        <w:i w:val="0"/>
        <w:sz w:val="22"/>
      </w:rPr>
    </w:lvl>
    <w:lvl w:ilvl="7">
      <w:start w:val="1"/>
      <w:numFmt w:val="decimal"/>
      <w:isLgl/>
      <w:lvlText w:val="%1.%2.%3.%4.%5.%6.%7.%8"/>
      <w:lvlJc w:val="left"/>
      <w:pPr>
        <w:ind w:left="1582" w:hanging="1440"/>
      </w:pPr>
      <w:rPr>
        <w:rFonts w:ascii="Cambria" w:hAnsi="Cambria" w:hint="default"/>
        <w:b w:val="0"/>
        <w:i w:val="0"/>
        <w:sz w:val="22"/>
      </w:rPr>
    </w:lvl>
    <w:lvl w:ilvl="8">
      <w:start w:val="1"/>
      <w:numFmt w:val="decimal"/>
      <w:isLgl/>
      <w:lvlText w:val="%1.%2.%3.%4.%5.%6.%7.%8.%9"/>
      <w:lvlJc w:val="left"/>
      <w:pPr>
        <w:ind w:left="1942" w:hanging="1800"/>
      </w:pPr>
      <w:rPr>
        <w:rFonts w:ascii="Cambria" w:hAnsi="Cambria" w:hint="default"/>
        <w:b w:val="0"/>
        <w:i w:val="0"/>
        <w:sz w:val="22"/>
      </w:rPr>
    </w:lvl>
  </w:abstractNum>
  <w:abstractNum w:abstractNumId="6" w15:restartNumberingAfterBreak="0">
    <w:nsid w:val="19685D96"/>
    <w:multiLevelType w:val="hybridMultilevel"/>
    <w:tmpl w:val="E1D2BEAE"/>
    <w:lvl w:ilvl="0" w:tplc="36E2FC2C">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15:restartNumberingAfterBreak="0">
    <w:nsid w:val="1B361429"/>
    <w:multiLevelType w:val="hybridMultilevel"/>
    <w:tmpl w:val="50E842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EDC22E4"/>
    <w:multiLevelType w:val="hybridMultilevel"/>
    <w:tmpl w:val="5D62C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5524C6"/>
    <w:multiLevelType w:val="multilevel"/>
    <w:tmpl w:val="67B04D5E"/>
    <w:lvl w:ilvl="0">
      <w:start w:val="2"/>
      <w:numFmt w:val="decimal"/>
      <w:lvlText w:val="%1"/>
      <w:lvlJc w:val="left"/>
      <w:pPr>
        <w:ind w:left="502" w:hanging="360"/>
      </w:pPr>
      <w:rPr>
        <w:rFonts w:hint="default"/>
      </w:rPr>
    </w:lvl>
    <w:lvl w:ilvl="1">
      <w:start w:val="1"/>
      <w:numFmt w:val="decimal"/>
      <w:isLgl/>
      <w:lvlText w:val="%1.%2"/>
      <w:lvlJc w:val="left"/>
      <w:pPr>
        <w:ind w:left="502" w:hanging="360"/>
      </w:pPr>
      <w:rPr>
        <w:rFonts w:ascii="Cambria" w:hAnsi="Cambria" w:hint="default"/>
        <w:b w:val="0"/>
        <w:i w:val="0"/>
        <w:sz w:val="22"/>
      </w:rPr>
    </w:lvl>
    <w:lvl w:ilvl="2">
      <w:start w:val="1"/>
      <w:numFmt w:val="decimal"/>
      <w:isLgl/>
      <w:lvlText w:val="%1.%2.%3"/>
      <w:lvlJc w:val="left"/>
      <w:pPr>
        <w:ind w:left="862" w:hanging="720"/>
      </w:pPr>
      <w:rPr>
        <w:rFonts w:ascii="Cambria" w:hAnsi="Cambria" w:hint="default"/>
        <w:b w:val="0"/>
        <w:i w:val="0"/>
        <w:sz w:val="22"/>
      </w:rPr>
    </w:lvl>
    <w:lvl w:ilvl="3">
      <w:start w:val="1"/>
      <w:numFmt w:val="decimal"/>
      <w:isLgl/>
      <w:lvlText w:val="%1.%2.%3.%4"/>
      <w:lvlJc w:val="left"/>
      <w:pPr>
        <w:ind w:left="862" w:hanging="720"/>
      </w:pPr>
      <w:rPr>
        <w:rFonts w:ascii="Cambria" w:hAnsi="Cambria" w:hint="default"/>
        <w:b w:val="0"/>
        <w:i w:val="0"/>
        <w:sz w:val="22"/>
      </w:rPr>
    </w:lvl>
    <w:lvl w:ilvl="4">
      <w:start w:val="1"/>
      <w:numFmt w:val="decimal"/>
      <w:isLgl/>
      <w:lvlText w:val="%1.%2.%3.%4.%5"/>
      <w:lvlJc w:val="left"/>
      <w:pPr>
        <w:ind w:left="1222" w:hanging="1080"/>
      </w:pPr>
      <w:rPr>
        <w:rFonts w:ascii="Cambria" w:hAnsi="Cambria" w:hint="default"/>
        <w:b w:val="0"/>
        <w:i w:val="0"/>
        <w:sz w:val="22"/>
      </w:rPr>
    </w:lvl>
    <w:lvl w:ilvl="5">
      <w:start w:val="1"/>
      <w:numFmt w:val="decimal"/>
      <w:isLgl/>
      <w:lvlText w:val="%1.%2.%3.%4.%5.%6"/>
      <w:lvlJc w:val="left"/>
      <w:pPr>
        <w:ind w:left="1222" w:hanging="1080"/>
      </w:pPr>
      <w:rPr>
        <w:rFonts w:ascii="Cambria" w:hAnsi="Cambria" w:hint="default"/>
        <w:b w:val="0"/>
        <w:i w:val="0"/>
        <w:sz w:val="22"/>
      </w:rPr>
    </w:lvl>
    <w:lvl w:ilvl="6">
      <w:start w:val="1"/>
      <w:numFmt w:val="decimal"/>
      <w:isLgl/>
      <w:lvlText w:val="%1.%2.%3.%4.%5.%6.%7"/>
      <w:lvlJc w:val="left"/>
      <w:pPr>
        <w:ind w:left="1582" w:hanging="1440"/>
      </w:pPr>
      <w:rPr>
        <w:rFonts w:ascii="Cambria" w:hAnsi="Cambria" w:hint="default"/>
        <w:b w:val="0"/>
        <w:i w:val="0"/>
        <w:sz w:val="22"/>
      </w:rPr>
    </w:lvl>
    <w:lvl w:ilvl="7">
      <w:start w:val="1"/>
      <w:numFmt w:val="decimal"/>
      <w:isLgl/>
      <w:lvlText w:val="%1.%2.%3.%4.%5.%6.%7.%8"/>
      <w:lvlJc w:val="left"/>
      <w:pPr>
        <w:ind w:left="1582" w:hanging="1440"/>
      </w:pPr>
      <w:rPr>
        <w:rFonts w:ascii="Cambria" w:hAnsi="Cambria" w:hint="default"/>
        <w:b w:val="0"/>
        <w:i w:val="0"/>
        <w:sz w:val="22"/>
      </w:rPr>
    </w:lvl>
    <w:lvl w:ilvl="8">
      <w:start w:val="1"/>
      <w:numFmt w:val="decimal"/>
      <w:isLgl/>
      <w:lvlText w:val="%1.%2.%3.%4.%5.%6.%7.%8.%9"/>
      <w:lvlJc w:val="left"/>
      <w:pPr>
        <w:ind w:left="1942" w:hanging="1800"/>
      </w:pPr>
      <w:rPr>
        <w:rFonts w:ascii="Cambria" w:hAnsi="Cambria" w:hint="default"/>
        <w:b w:val="0"/>
        <w:i w:val="0"/>
        <w:sz w:val="22"/>
      </w:rPr>
    </w:lvl>
  </w:abstractNum>
  <w:abstractNum w:abstractNumId="10" w15:restartNumberingAfterBreak="0">
    <w:nsid w:val="26455FB8"/>
    <w:multiLevelType w:val="multilevel"/>
    <w:tmpl w:val="D4F8B5E0"/>
    <w:lvl w:ilvl="0">
      <w:start w:val="2"/>
      <w:numFmt w:val="decimal"/>
      <w:lvlText w:val="%1"/>
      <w:lvlJc w:val="left"/>
      <w:pPr>
        <w:ind w:left="502" w:hanging="360"/>
      </w:pPr>
      <w:rPr>
        <w:rFonts w:hint="default"/>
      </w:rPr>
    </w:lvl>
    <w:lvl w:ilvl="1">
      <w:start w:val="1"/>
      <w:numFmt w:val="decimal"/>
      <w:isLgl/>
      <w:lvlText w:val="%1.%2"/>
      <w:lvlJc w:val="left"/>
      <w:pPr>
        <w:ind w:left="502" w:hanging="360"/>
      </w:pPr>
      <w:rPr>
        <w:rFonts w:ascii="Cambria" w:hAnsi="Cambria" w:hint="default"/>
        <w:b w:val="0"/>
        <w:i w:val="0"/>
        <w:sz w:val="22"/>
      </w:rPr>
    </w:lvl>
    <w:lvl w:ilvl="2">
      <w:start w:val="1"/>
      <w:numFmt w:val="decimal"/>
      <w:isLgl/>
      <w:lvlText w:val="%1.%2.%3"/>
      <w:lvlJc w:val="left"/>
      <w:pPr>
        <w:ind w:left="862" w:hanging="720"/>
      </w:pPr>
      <w:rPr>
        <w:rFonts w:ascii="Cambria" w:hAnsi="Cambria" w:hint="default"/>
        <w:b w:val="0"/>
        <w:i w:val="0"/>
        <w:sz w:val="22"/>
      </w:rPr>
    </w:lvl>
    <w:lvl w:ilvl="3">
      <w:start w:val="1"/>
      <w:numFmt w:val="decimal"/>
      <w:isLgl/>
      <w:lvlText w:val="%1.%2.%3.%4"/>
      <w:lvlJc w:val="left"/>
      <w:pPr>
        <w:ind w:left="862" w:hanging="720"/>
      </w:pPr>
      <w:rPr>
        <w:rFonts w:ascii="Cambria" w:hAnsi="Cambria" w:hint="default"/>
        <w:b w:val="0"/>
        <w:i w:val="0"/>
        <w:sz w:val="22"/>
      </w:rPr>
    </w:lvl>
    <w:lvl w:ilvl="4">
      <w:start w:val="1"/>
      <w:numFmt w:val="decimal"/>
      <w:isLgl/>
      <w:lvlText w:val="%1.%2.%3.%4.%5"/>
      <w:lvlJc w:val="left"/>
      <w:pPr>
        <w:ind w:left="1222" w:hanging="1080"/>
      </w:pPr>
      <w:rPr>
        <w:rFonts w:ascii="Cambria" w:hAnsi="Cambria" w:hint="default"/>
        <w:b w:val="0"/>
        <w:i w:val="0"/>
        <w:sz w:val="22"/>
      </w:rPr>
    </w:lvl>
    <w:lvl w:ilvl="5">
      <w:start w:val="1"/>
      <w:numFmt w:val="decimal"/>
      <w:isLgl/>
      <w:lvlText w:val="%1.%2.%3.%4.%5.%6"/>
      <w:lvlJc w:val="left"/>
      <w:pPr>
        <w:ind w:left="1222" w:hanging="1080"/>
      </w:pPr>
      <w:rPr>
        <w:rFonts w:ascii="Cambria" w:hAnsi="Cambria" w:hint="default"/>
        <w:b w:val="0"/>
        <w:i w:val="0"/>
        <w:sz w:val="22"/>
      </w:rPr>
    </w:lvl>
    <w:lvl w:ilvl="6">
      <w:start w:val="1"/>
      <w:numFmt w:val="decimal"/>
      <w:isLgl/>
      <w:lvlText w:val="%1.%2.%3.%4.%5.%6.%7"/>
      <w:lvlJc w:val="left"/>
      <w:pPr>
        <w:ind w:left="1582" w:hanging="1440"/>
      </w:pPr>
      <w:rPr>
        <w:rFonts w:ascii="Cambria" w:hAnsi="Cambria" w:hint="default"/>
        <w:b w:val="0"/>
        <w:i w:val="0"/>
        <w:sz w:val="22"/>
      </w:rPr>
    </w:lvl>
    <w:lvl w:ilvl="7">
      <w:start w:val="1"/>
      <w:numFmt w:val="decimal"/>
      <w:isLgl/>
      <w:lvlText w:val="%1.%2.%3.%4.%5.%6.%7.%8"/>
      <w:lvlJc w:val="left"/>
      <w:pPr>
        <w:ind w:left="1582" w:hanging="1440"/>
      </w:pPr>
      <w:rPr>
        <w:rFonts w:ascii="Cambria" w:hAnsi="Cambria" w:hint="default"/>
        <w:b w:val="0"/>
        <w:i w:val="0"/>
        <w:sz w:val="22"/>
      </w:rPr>
    </w:lvl>
    <w:lvl w:ilvl="8">
      <w:start w:val="1"/>
      <w:numFmt w:val="decimal"/>
      <w:isLgl/>
      <w:lvlText w:val="%1.%2.%3.%4.%5.%6.%7.%8.%9"/>
      <w:lvlJc w:val="left"/>
      <w:pPr>
        <w:ind w:left="1942" w:hanging="1800"/>
      </w:pPr>
      <w:rPr>
        <w:rFonts w:ascii="Cambria" w:hAnsi="Cambria" w:hint="default"/>
        <w:b w:val="0"/>
        <w:i w:val="0"/>
        <w:sz w:val="22"/>
      </w:rPr>
    </w:lvl>
  </w:abstractNum>
  <w:abstractNum w:abstractNumId="11" w15:restartNumberingAfterBreak="0">
    <w:nsid w:val="2E0C4393"/>
    <w:multiLevelType w:val="hybridMultilevel"/>
    <w:tmpl w:val="71B23A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6234DF"/>
    <w:multiLevelType w:val="hybridMultilevel"/>
    <w:tmpl w:val="083646C6"/>
    <w:lvl w:ilvl="0" w:tplc="40846A5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1E316B3"/>
    <w:multiLevelType w:val="hybridMultilevel"/>
    <w:tmpl w:val="DE6A19EC"/>
    <w:lvl w:ilvl="0" w:tplc="4DF04C6A">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4" w15:restartNumberingAfterBreak="0">
    <w:nsid w:val="3B0F614C"/>
    <w:multiLevelType w:val="hybridMultilevel"/>
    <w:tmpl w:val="4D7295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D5E0CDC"/>
    <w:multiLevelType w:val="hybridMultilevel"/>
    <w:tmpl w:val="4F12DC36"/>
    <w:lvl w:ilvl="0" w:tplc="046C23D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C32255"/>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17" w15:restartNumberingAfterBreak="0">
    <w:nsid w:val="430C6E1C"/>
    <w:multiLevelType w:val="multilevel"/>
    <w:tmpl w:val="67B04D5E"/>
    <w:lvl w:ilvl="0">
      <w:start w:val="2"/>
      <w:numFmt w:val="decimal"/>
      <w:lvlText w:val="%1"/>
      <w:lvlJc w:val="left"/>
      <w:pPr>
        <w:ind w:left="502" w:hanging="360"/>
      </w:pPr>
      <w:rPr>
        <w:rFonts w:hint="default"/>
      </w:rPr>
    </w:lvl>
    <w:lvl w:ilvl="1">
      <w:start w:val="1"/>
      <w:numFmt w:val="decimal"/>
      <w:isLgl/>
      <w:lvlText w:val="%1.%2"/>
      <w:lvlJc w:val="left"/>
      <w:pPr>
        <w:ind w:left="502" w:hanging="360"/>
      </w:pPr>
      <w:rPr>
        <w:rFonts w:ascii="Cambria" w:hAnsi="Cambria" w:hint="default"/>
        <w:b w:val="0"/>
        <w:i w:val="0"/>
        <w:sz w:val="22"/>
      </w:rPr>
    </w:lvl>
    <w:lvl w:ilvl="2">
      <w:start w:val="1"/>
      <w:numFmt w:val="decimal"/>
      <w:isLgl/>
      <w:lvlText w:val="%1.%2.%3"/>
      <w:lvlJc w:val="left"/>
      <w:pPr>
        <w:ind w:left="862" w:hanging="720"/>
      </w:pPr>
      <w:rPr>
        <w:rFonts w:ascii="Cambria" w:hAnsi="Cambria" w:hint="default"/>
        <w:b w:val="0"/>
        <w:i w:val="0"/>
        <w:sz w:val="22"/>
      </w:rPr>
    </w:lvl>
    <w:lvl w:ilvl="3">
      <w:start w:val="1"/>
      <w:numFmt w:val="decimal"/>
      <w:isLgl/>
      <w:lvlText w:val="%1.%2.%3.%4"/>
      <w:lvlJc w:val="left"/>
      <w:pPr>
        <w:ind w:left="862" w:hanging="720"/>
      </w:pPr>
      <w:rPr>
        <w:rFonts w:ascii="Cambria" w:hAnsi="Cambria" w:hint="default"/>
        <w:b w:val="0"/>
        <w:i w:val="0"/>
        <w:sz w:val="22"/>
      </w:rPr>
    </w:lvl>
    <w:lvl w:ilvl="4">
      <w:start w:val="1"/>
      <w:numFmt w:val="decimal"/>
      <w:isLgl/>
      <w:lvlText w:val="%1.%2.%3.%4.%5"/>
      <w:lvlJc w:val="left"/>
      <w:pPr>
        <w:ind w:left="1222" w:hanging="1080"/>
      </w:pPr>
      <w:rPr>
        <w:rFonts w:ascii="Cambria" w:hAnsi="Cambria" w:hint="default"/>
        <w:b w:val="0"/>
        <w:i w:val="0"/>
        <w:sz w:val="22"/>
      </w:rPr>
    </w:lvl>
    <w:lvl w:ilvl="5">
      <w:start w:val="1"/>
      <w:numFmt w:val="decimal"/>
      <w:isLgl/>
      <w:lvlText w:val="%1.%2.%3.%4.%5.%6"/>
      <w:lvlJc w:val="left"/>
      <w:pPr>
        <w:ind w:left="1222" w:hanging="1080"/>
      </w:pPr>
      <w:rPr>
        <w:rFonts w:ascii="Cambria" w:hAnsi="Cambria" w:hint="default"/>
        <w:b w:val="0"/>
        <w:i w:val="0"/>
        <w:sz w:val="22"/>
      </w:rPr>
    </w:lvl>
    <w:lvl w:ilvl="6">
      <w:start w:val="1"/>
      <w:numFmt w:val="decimal"/>
      <w:isLgl/>
      <w:lvlText w:val="%1.%2.%3.%4.%5.%6.%7"/>
      <w:lvlJc w:val="left"/>
      <w:pPr>
        <w:ind w:left="1582" w:hanging="1440"/>
      </w:pPr>
      <w:rPr>
        <w:rFonts w:ascii="Cambria" w:hAnsi="Cambria" w:hint="default"/>
        <w:b w:val="0"/>
        <w:i w:val="0"/>
        <w:sz w:val="22"/>
      </w:rPr>
    </w:lvl>
    <w:lvl w:ilvl="7">
      <w:start w:val="1"/>
      <w:numFmt w:val="decimal"/>
      <w:isLgl/>
      <w:lvlText w:val="%1.%2.%3.%4.%5.%6.%7.%8"/>
      <w:lvlJc w:val="left"/>
      <w:pPr>
        <w:ind w:left="1582" w:hanging="1440"/>
      </w:pPr>
      <w:rPr>
        <w:rFonts w:ascii="Cambria" w:hAnsi="Cambria" w:hint="default"/>
        <w:b w:val="0"/>
        <w:i w:val="0"/>
        <w:sz w:val="22"/>
      </w:rPr>
    </w:lvl>
    <w:lvl w:ilvl="8">
      <w:start w:val="1"/>
      <w:numFmt w:val="decimal"/>
      <w:isLgl/>
      <w:lvlText w:val="%1.%2.%3.%4.%5.%6.%7.%8.%9"/>
      <w:lvlJc w:val="left"/>
      <w:pPr>
        <w:ind w:left="1942" w:hanging="1800"/>
      </w:pPr>
      <w:rPr>
        <w:rFonts w:ascii="Cambria" w:hAnsi="Cambria" w:hint="default"/>
        <w:b w:val="0"/>
        <w:i w:val="0"/>
        <w:sz w:val="22"/>
      </w:rPr>
    </w:lvl>
  </w:abstractNum>
  <w:abstractNum w:abstractNumId="18" w15:restartNumberingAfterBreak="0">
    <w:nsid w:val="45C56B52"/>
    <w:multiLevelType w:val="hybridMultilevel"/>
    <w:tmpl w:val="D1DA3A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B392187"/>
    <w:multiLevelType w:val="multilevel"/>
    <w:tmpl w:val="DE6A19EC"/>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15:restartNumberingAfterBreak="0">
    <w:nsid w:val="4E542A1E"/>
    <w:multiLevelType w:val="multilevel"/>
    <w:tmpl w:val="67B04D5E"/>
    <w:lvl w:ilvl="0">
      <w:start w:val="2"/>
      <w:numFmt w:val="decimal"/>
      <w:lvlText w:val="%1"/>
      <w:lvlJc w:val="left"/>
      <w:pPr>
        <w:ind w:left="502" w:hanging="360"/>
      </w:pPr>
      <w:rPr>
        <w:rFonts w:hint="default"/>
      </w:rPr>
    </w:lvl>
    <w:lvl w:ilvl="1">
      <w:start w:val="1"/>
      <w:numFmt w:val="decimal"/>
      <w:isLgl/>
      <w:lvlText w:val="%1.%2"/>
      <w:lvlJc w:val="left"/>
      <w:pPr>
        <w:ind w:left="502" w:hanging="360"/>
      </w:pPr>
      <w:rPr>
        <w:rFonts w:ascii="Cambria" w:hAnsi="Cambria" w:hint="default"/>
        <w:b w:val="0"/>
        <w:i w:val="0"/>
        <w:sz w:val="22"/>
      </w:rPr>
    </w:lvl>
    <w:lvl w:ilvl="2">
      <w:start w:val="1"/>
      <w:numFmt w:val="decimal"/>
      <w:isLgl/>
      <w:lvlText w:val="%1.%2.%3"/>
      <w:lvlJc w:val="left"/>
      <w:pPr>
        <w:ind w:left="862" w:hanging="720"/>
      </w:pPr>
      <w:rPr>
        <w:rFonts w:ascii="Cambria" w:hAnsi="Cambria" w:hint="default"/>
        <w:b w:val="0"/>
        <w:i w:val="0"/>
        <w:sz w:val="22"/>
      </w:rPr>
    </w:lvl>
    <w:lvl w:ilvl="3">
      <w:start w:val="1"/>
      <w:numFmt w:val="decimal"/>
      <w:isLgl/>
      <w:lvlText w:val="%1.%2.%3.%4"/>
      <w:lvlJc w:val="left"/>
      <w:pPr>
        <w:ind w:left="862" w:hanging="720"/>
      </w:pPr>
      <w:rPr>
        <w:rFonts w:ascii="Cambria" w:hAnsi="Cambria" w:hint="default"/>
        <w:b w:val="0"/>
        <w:i w:val="0"/>
        <w:sz w:val="22"/>
      </w:rPr>
    </w:lvl>
    <w:lvl w:ilvl="4">
      <w:start w:val="1"/>
      <w:numFmt w:val="decimal"/>
      <w:isLgl/>
      <w:lvlText w:val="%1.%2.%3.%4.%5"/>
      <w:lvlJc w:val="left"/>
      <w:pPr>
        <w:ind w:left="1222" w:hanging="1080"/>
      </w:pPr>
      <w:rPr>
        <w:rFonts w:ascii="Cambria" w:hAnsi="Cambria" w:hint="default"/>
        <w:b w:val="0"/>
        <w:i w:val="0"/>
        <w:sz w:val="22"/>
      </w:rPr>
    </w:lvl>
    <w:lvl w:ilvl="5">
      <w:start w:val="1"/>
      <w:numFmt w:val="decimal"/>
      <w:isLgl/>
      <w:lvlText w:val="%1.%2.%3.%4.%5.%6"/>
      <w:lvlJc w:val="left"/>
      <w:pPr>
        <w:ind w:left="1222" w:hanging="1080"/>
      </w:pPr>
      <w:rPr>
        <w:rFonts w:ascii="Cambria" w:hAnsi="Cambria" w:hint="default"/>
        <w:b w:val="0"/>
        <w:i w:val="0"/>
        <w:sz w:val="22"/>
      </w:rPr>
    </w:lvl>
    <w:lvl w:ilvl="6">
      <w:start w:val="1"/>
      <w:numFmt w:val="decimal"/>
      <w:isLgl/>
      <w:lvlText w:val="%1.%2.%3.%4.%5.%6.%7"/>
      <w:lvlJc w:val="left"/>
      <w:pPr>
        <w:ind w:left="1582" w:hanging="1440"/>
      </w:pPr>
      <w:rPr>
        <w:rFonts w:ascii="Cambria" w:hAnsi="Cambria" w:hint="default"/>
        <w:b w:val="0"/>
        <w:i w:val="0"/>
        <w:sz w:val="22"/>
      </w:rPr>
    </w:lvl>
    <w:lvl w:ilvl="7">
      <w:start w:val="1"/>
      <w:numFmt w:val="decimal"/>
      <w:isLgl/>
      <w:lvlText w:val="%1.%2.%3.%4.%5.%6.%7.%8"/>
      <w:lvlJc w:val="left"/>
      <w:pPr>
        <w:ind w:left="1582" w:hanging="1440"/>
      </w:pPr>
      <w:rPr>
        <w:rFonts w:ascii="Cambria" w:hAnsi="Cambria" w:hint="default"/>
        <w:b w:val="0"/>
        <w:i w:val="0"/>
        <w:sz w:val="22"/>
      </w:rPr>
    </w:lvl>
    <w:lvl w:ilvl="8">
      <w:start w:val="1"/>
      <w:numFmt w:val="decimal"/>
      <w:isLgl/>
      <w:lvlText w:val="%1.%2.%3.%4.%5.%6.%7.%8.%9"/>
      <w:lvlJc w:val="left"/>
      <w:pPr>
        <w:ind w:left="1942" w:hanging="1800"/>
      </w:pPr>
      <w:rPr>
        <w:rFonts w:ascii="Cambria" w:hAnsi="Cambria" w:hint="default"/>
        <w:b w:val="0"/>
        <w:i w:val="0"/>
        <w:sz w:val="22"/>
      </w:rPr>
    </w:lvl>
  </w:abstractNum>
  <w:abstractNum w:abstractNumId="21" w15:restartNumberingAfterBreak="0">
    <w:nsid w:val="4F246FCF"/>
    <w:multiLevelType w:val="hybridMultilevel"/>
    <w:tmpl w:val="A260E894"/>
    <w:lvl w:ilvl="0" w:tplc="D0E8EC2A">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2" w15:restartNumberingAfterBreak="0">
    <w:nsid w:val="516563EF"/>
    <w:multiLevelType w:val="hybridMultilevel"/>
    <w:tmpl w:val="FDDC6C5C"/>
    <w:lvl w:ilvl="0" w:tplc="67C2003A">
      <w:start w:val="12"/>
      <w:numFmt w:val="bullet"/>
      <w:lvlText w:val="-"/>
      <w:lvlJc w:val="left"/>
      <w:pPr>
        <w:ind w:left="1060" w:hanging="70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9556AA"/>
    <w:multiLevelType w:val="multilevel"/>
    <w:tmpl w:val="EB2A70A6"/>
    <w:lvl w:ilvl="0">
      <w:start w:val="2"/>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4" w15:restartNumberingAfterBreak="0">
    <w:nsid w:val="5FF87AB0"/>
    <w:multiLevelType w:val="multilevel"/>
    <w:tmpl w:val="2EFCE33A"/>
    <w:lvl w:ilvl="0">
      <w:start w:val="2"/>
      <w:numFmt w:val="decimal"/>
      <w:lvlText w:val="%1"/>
      <w:lvlJc w:val="left"/>
      <w:pPr>
        <w:ind w:left="502" w:hanging="360"/>
      </w:pPr>
      <w:rPr>
        <w:rFonts w:hint="default"/>
      </w:rPr>
    </w:lvl>
    <w:lvl w:ilvl="1">
      <w:start w:val="1"/>
      <w:numFmt w:val="bullet"/>
      <w:lvlText w:val=""/>
      <w:lvlJc w:val="left"/>
      <w:pPr>
        <w:ind w:left="1068" w:hanging="360"/>
      </w:pPr>
      <w:rPr>
        <w:rFonts w:ascii="Symbol" w:hAnsi="Symbol" w:hint="default"/>
        <w:b w:val="0"/>
        <w:i w:val="0"/>
        <w:sz w:val="22"/>
      </w:rPr>
    </w:lvl>
    <w:lvl w:ilvl="2">
      <w:start w:val="1"/>
      <w:numFmt w:val="decimal"/>
      <w:isLgl/>
      <w:lvlText w:val="%1.%2.%3"/>
      <w:lvlJc w:val="left"/>
      <w:pPr>
        <w:ind w:left="862" w:hanging="720"/>
      </w:pPr>
      <w:rPr>
        <w:rFonts w:ascii="Cambria" w:hAnsi="Cambria" w:hint="default"/>
        <w:b w:val="0"/>
        <w:i w:val="0"/>
        <w:sz w:val="22"/>
      </w:rPr>
    </w:lvl>
    <w:lvl w:ilvl="3">
      <w:start w:val="1"/>
      <w:numFmt w:val="decimal"/>
      <w:isLgl/>
      <w:lvlText w:val="%1.%2.%3.%4"/>
      <w:lvlJc w:val="left"/>
      <w:pPr>
        <w:ind w:left="862" w:hanging="720"/>
      </w:pPr>
      <w:rPr>
        <w:rFonts w:ascii="Cambria" w:hAnsi="Cambria" w:hint="default"/>
        <w:b w:val="0"/>
        <w:i w:val="0"/>
        <w:sz w:val="22"/>
      </w:rPr>
    </w:lvl>
    <w:lvl w:ilvl="4">
      <w:start w:val="1"/>
      <w:numFmt w:val="decimal"/>
      <w:isLgl/>
      <w:lvlText w:val="%1.%2.%3.%4.%5"/>
      <w:lvlJc w:val="left"/>
      <w:pPr>
        <w:ind w:left="1222" w:hanging="1080"/>
      </w:pPr>
      <w:rPr>
        <w:rFonts w:ascii="Cambria" w:hAnsi="Cambria" w:hint="default"/>
        <w:b w:val="0"/>
        <w:i w:val="0"/>
        <w:sz w:val="22"/>
      </w:rPr>
    </w:lvl>
    <w:lvl w:ilvl="5">
      <w:start w:val="1"/>
      <w:numFmt w:val="decimal"/>
      <w:isLgl/>
      <w:lvlText w:val="%1.%2.%3.%4.%5.%6"/>
      <w:lvlJc w:val="left"/>
      <w:pPr>
        <w:ind w:left="1222" w:hanging="1080"/>
      </w:pPr>
      <w:rPr>
        <w:rFonts w:ascii="Cambria" w:hAnsi="Cambria" w:hint="default"/>
        <w:b w:val="0"/>
        <w:i w:val="0"/>
        <w:sz w:val="22"/>
      </w:rPr>
    </w:lvl>
    <w:lvl w:ilvl="6">
      <w:start w:val="1"/>
      <w:numFmt w:val="decimal"/>
      <w:isLgl/>
      <w:lvlText w:val="%1.%2.%3.%4.%5.%6.%7"/>
      <w:lvlJc w:val="left"/>
      <w:pPr>
        <w:ind w:left="1582" w:hanging="1440"/>
      </w:pPr>
      <w:rPr>
        <w:rFonts w:ascii="Cambria" w:hAnsi="Cambria" w:hint="default"/>
        <w:b w:val="0"/>
        <w:i w:val="0"/>
        <w:sz w:val="22"/>
      </w:rPr>
    </w:lvl>
    <w:lvl w:ilvl="7">
      <w:start w:val="1"/>
      <w:numFmt w:val="decimal"/>
      <w:isLgl/>
      <w:lvlText w:val="%1.%2.%3.%4.%5.%6.%7.%8"/>
      <w:lvlJc w:val="left"/>
      <w:pPr>
        <w:ind w:left="1582" w:hanging="1440"/>
      </w:pPr>
      <w:rPr>
        <w:rFonts w:ascii="Cambria" w:hAnsi="Cambria" w:hint="default"/>
        <w:b w:val="0"/>
        <w:i w:val="0"/>
        <w:sz w:val="22"/>
      </w:rPr>
    </w:lvl>
    <w:lvl w:ilvl="8">
      <w:start w:val="1"/>
      <w:numFmt w:val="decimal"/>
      <w:isLgl/>
      <w:lvlText w:val="%1.%2.%3.%4.%5.%6.%7.%8.%9"/>
      <w:lvlJc w:val="left"/>
      <w:pPr>
        <w:ind w:left="1942" w:hanging="1800"/>
      </w:pPr>
      <w:rPr>
        <w:rFonts w:ascii="Cambria" w:hAnsi="Cambria" w:hint="default"/>
        <w:b w:val="0"/>
        <w:i w:val="0"/>
        <w:sz w:val="22"/>
      </w:rPr>
    </w:lvl>
  </w:abstractNum>
  <w:abstractNum w:abstractNumId="25" w15:restartNumberingAfterBreak="0">
    <w:nsid w:val="638D72B5"/>
    <w:multiLevelType w:val="hybridMultilevel"/>
    <w:tmpl w:val="D6727FDC"/>
    <w:lvl w:ilvl="0" w:tplc="A73A0AD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112C20"/>
    <w:multiLevelType w:val="multilevel"/>
    <w:tmpl w:val="41F6E772"/>
    <w:lvl w:ilvl="0">
      <w:start w:val="2"/>
      <w:numFmt w:val="decimal"/>
      <w:lvlText w:val="%1"/>
      <w:lvlJc w:val="left"/>
      <w:pPr>
        <w:ind w:left="502" w:hanging="360"/>
      </w:pPr>
      <w:rPr>
        <w:rFonts w:hint="default"/>
      </w:rPr>
    </w:lvl>
    <w:lvl w:ilvl="1">
      <w:start w:val="1"/>
      <w:numFmt w:val="decimal"/>
      <w:isLgl/>
      <w:lvlText w:val="%1.%2"/>
      <w:lvlJc w:val="left"/>
      <w:pPr>
        <w:ind w:left="502" w:hanging="360"/>
      </w:pPr>
      <w:rPr>
        <w:rFonts w:ascii="Cambria" w:hAnsi="Cambria" w:hint="default"/>
        <w:b w:val="0"/>
        <w:i w:val="0"/>
        <w:sz w:val="22"/>
      </w:rPr>
    </w:lvl>
    <w:lvl w:ilvl="2">
      <w:start w:val="1"/>
      <w:numFmt w:val="decimal"/>
      <w:isLgl/>
      <w:lvlText w:val="%1.%2.%3"/>
      <w:lvlJc w:val="left"/>
      <w:pPr>
        <w:ind w:left="862" w:hanging="720"/>
      </w:pPr>
      <w:rPr>
        <w:rFonts w:ascii="Cambria" w:hAnsi="Cambria" w:hint="default"/>
        <w:b w:val="0"/>
        <w:i w:val="0"/>
        <w:sz w:val="22"/>
      </w:rPr>
    </w:lvl>
    <w:lvl w:ilvl="3">
      <w:start w:val="1"/>
      <w:numFmt w:val="decimal"/>
      <w:isLgl/>
      <w:lvlText w:val="%1.%2.%3.%4"/>
      <w:lvlJc w:val="left"/>
      <w:pPr>
        <w:ind w:left="862" w:hanging="720"/>
      </w:pPr>
      <w:rPr>
        <w:rFonts w:ascii="Cambria" w:hAnsi="Cambria" w:hint="default"/>
        <w:b w:val="0"/>
        <w:i w:val="0"/>
        <w:sz w:val="22"/>
      </w:rPr>
    </w:lvl>
    <w:lvl w:ilvl="4">
      <w:start w:val="1"/>
      <w:numFmt w:val="decimal"/>
      <w:isLgl/>
      <w:lvlText w:val="%1.%2.%3.%4.%5"/>
      <w:lvlJc w:val="left"/>
      <w:pPr>
        <w:ind w:left="1222" w:hanging="1080"/>
      </w:pPr>
      <w:rPr>
        <w:rFonts w:ascii="Cambria" w:hAnsi="Cambria" w:hint="default"/>
        <w:b w:val="0"/>
        <w:i w:val="0"/>
        <w:sz w:val="22"/>
      </w:rPr>
    </w:lvl>
    <w:lvl w:ilvl="5">
      <w:start w:val="1"/>
      <w:numFmt w:val="decimal"/>
      <w:isLgl/>
      <w:lvlText w:val="%1.%2.%3.%4.%5.%6"/>
      <w:lvlJc w:val="left"/>
      <w:pPr>
        <w:ind w:left="1222" w:hanging="1080"/>
      </w:pPr>
      <w:rPr>
        <w:rFonts w:ascii="Cambria" w:hAnsi="Cambria" w:hint="default"/>
        <w:b w:val="0"/>
        <w:i w:val="0"/>
        <w:sz w:val="22"/>
      </w:rPr>
    </w:lvl>
    <w:lvl w:ilvl="6">
      <w:start w:val="1"/>
      <w:numFmt w:val="decimal"/>
      <w:isLgl/>
      <w:lvlText w:val="%1.%2.%3.%4.%5.%6.%7"/>
      <w:lvlJc w:val="left"/>
      <w:pPr>
        <w:ind w:left="1582" w:hanging="1440"/>
      </w:pPr>
      <w:rPr>
        <w:rFonts w:ascii="Cambria" w:hAnsi="Cambria" w:hint="default"/>
        <w:b w:val="0"/>
        <w:i w:val="0"/>
        <w:sz w:val="22"/>
      </w:rPr>
    </w:lvl>
    <w:lvl w:ilvl="7">
      <w:start w:val="1"/>
      <w:numFmt w:val="decimal"/>
      <w:isLgl/>
      <w:lvlText w:val="%1.%2.%3.%4.%5.%6.%7.%8"/>
      <w:lvlJc w:val="left"/>
      <w:pPr>
        <w:ind w:left="1582" w:hanging="1440"/>
      </w:pPr>
      <w:rPr>
        <w:rFonts w:ascii="Cambria" w:hAnsi="Cambria" w:hint="default"/>
        <w:b w:val="0"/>
        <w:i w:val="0"/>
        <w:sz w:val="22"/>
      </w:rPr>
    </w:lvl>
    <w:lvl w:ilvl="8">
      <w:start w:val="1"/>
      <w:numFmt w:val="decimal"/>
      <w:isLgl/>
      <w:lvlText w:val="%1.%2.%3.%4.%5.%6.%7.%8.%9"/>
      <w:lvlJc w:val="left"/>
      <w:pPr>
        <w:ind w:left="1942" w:hanging="1800"/>
      </w:pPr>
      <w:rPr>
        <w:rFonts w:ascii="Cambria" w:hAnsi="Cambria" w:hint="default"/>
        <w:b w:val="0"/>
        <w:i w:val="0"/>
        <w:sz w:val="22"/>
      </w:rPr>
    </w:lvl>
  </w:abstractNum>
  <w:abstractNum w:abstractNumId="27" w15:restartNumberingAfterBreak="0">
    <w:nsid w:val="6E51626B"/>
    <w:multiLevelType w:val="multilevel"/>
    <w:tmpl w:val="040C0025"/>
    <w:lvl w:ilvl="0">
      <w:start w:val="1"/>
      <w:numFmt w:val="decimal"/>
      <w:pStyle w:val="Titre1"/>
      <w:lvlText w:val="%1"/>
      <w:lvlJc w:val="left"/>
      <w:pPr>
        <w:ind w:left="574"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92C5CCC"/>
    <w:multiLevelType w:val="multilevel"/>
    <w:tmpl w:val="2EFCE33A"/>
    <w:lvl w:ilvl="0">
      <w:start w:val="2"/>
      <w:numFmt w:val="decimal"/>
      <w:lvlText w:val="%1"/>
      <w:lvlJc w:val="left"/>
      <w:pPr>
        <w:ind w:left="502" w:hanging="360"/>
      </w:pPr>
      <w:rPr>
        <w:rFonts w:hint="default"/>
      </w:rPr>
    </w:lvl>
    <w:lvl w:ilvl="1">
      <w:start w:val="1"/>
      <w:numFmt w:val="bullet"/>
      <w:lvlText w:val=""/>
      <w:lvlJc w:val="left"/>
      <w:pPr>
        <w:ind w:left="1068" w:hanging="360"/>
      </w:pPr>
      <w:rPr>
        <w:rFonts w:ascii="Symbol" w:hAnsi="Symbol" w:hint="default"/>
        <w:b w:val="0"/>
        <w:i w:val="0"/>
        <w:sz w:val="22"/>
      </w:rPr>
    </w:lvl>
    <w:lvl w:ilvl="2">
      <w:start w:val="1"/>
      <w:numFmt w:val="decimal"/>
      <w:isLgl/>
      <w:lvlText w:val="%1.%2.%3"/>
      <w:lvlJc w:val="left"/>
      <w:pPr>
        <w:ind w:left="862" w:hanging="720"/>
      </w:pPr>
      <w:rPr>
        <w:rFonts w:ascii="Cambria" w:hAnsi="Cambria" w:hint="default"/>
        <w:b w:val="0"/>
        <w:i w:val="0"/>
        <w:sz w:val="22"/>
      </w:rPr>
    </w:lvl>
    <w:lvl w:ilvl="3">
      <w:start w:val="1"/>
      <w:numFmt w:val="decimal"/>
      <w:isLgl/>
      <w:lvlText w:val="%1.%2.%3.%4"/>
      <w:lvlJc w:val="left"/>
      <w:pPr>
        <w:ind w:left="862" w:hanging="720"/>
      </w:pPr>
      <w:rPr>
        <w:rFonts w:ascii="Cambria" w:hAnsi="Cambria" w:hint="default"/>
        <w:b w:val="0"/>
        <w:i w:val="0"/>
        <w:sz w:val="22"/>
      </w:rPr>
    </w:lvl>
    <w:lvl w:ilvl="4">
      <w:start w:val="1"/>
      <w:numFmt w:val="decimal"/>
      <w:isLgl/>
      <w:lvlText w:val="%1.%2.%3.%4.%5"/>
      <w:lvlJc w:val="left"/>
      <w:pPr>
        <w:ind w:left="1222" w:hanging="1080"/>
      </w:pPr>
      <w:rPr>
        <w:rFonts w:ascii="Cambria" w:hAnsi="Cambria" w:hint="default"/>
        <w:b w:val="0"/>
        <w:i w:val="0"/>
        <w:sz w:val="22"/>
      </w:rPr>
    </w:lvl>
    <w:lvl w:ilvl="5">
      <w:start w:val="1"/>
      <w:numFmt w:val="decimal"/>
      <w:isLgl/>
      <w:lvlText w:val="%1.%2.%3.%4.%5.%6"/>
      <w:lvlJc w:val="left"/>
      <w:pPr>
        <w:ind w:left="1222" w:hanging="1080"/>
      </w:pPr>
      <w:rPr>
        <w:rFonts w:ascii="Cambria" w:hAnsi="Cambria" w:hint="default"/>
        <w:b w:val="0"/>
        <w:i w:val="0"/>
        <w:sz w:val="22"/>
      </w:rPr>
    </w:lvl>
    <w:lvl w:ilvl="6">
      <w:start w:val="1"/>
      <w:numFmt w:val="decimal"/>
      <w:isLgl/>
      <w:lvlText w:val="%1.%2.%3.%4.%5.%6.%7"/>
      <w:lvlJc w:val="left"/>
      <w:pPr>
        <w:ind w:left="1582" w:hanging="1440"/>
      </w:pPr>
      <w:rPr>
        <w:rFonts w:ascii="Cambria" w:hAnsi="Cambria" w:hint="default"/>
        <w:b w:val="0"/>
        <w:i w:val="0"/>
        <w:sz w:val="22"/>
      </w:rPr>
    </w:lvl>
    <w:lvl w:ilvl="7">
      <w:start w:val="1"/>
      <w:numFmt w:val="decimal"/>
      <w:isLgl/>
      <w:lvlText w:val="%1.%2.%3.%4.%5.%6.%7.%8"/>
      <w:lvlJc w:val="left"/>
      <w:pPr>
        <w:ind w:left="1582" w:hanging="1440"/>
      </w:pPr>
      <w:rPr>
        <w:rFonts w:ascii="Cambria" w:hAnsi="Cambria" w:hint="default"/>
        <w:b w:val="0"/>
        <w:i w:val="0"/>
        <w:sz w:val="22"/>
      </w:rPr>
    </w:lvl>
    <w:lvl w:ilvl="8">
      <w:start w:val="1"/>
      <w:numFmt w:val="decimal"/>
      <w:isLgl/>
      <w:lvlText w:val="%1.%2.%3.%4.%5.%6.%7.%8.%9"/>
      <w:lvlJc w:val="left"/>
      <w:pPr>
        <w:ind w:left="1942" w:hanging="1800"/>
      </w:pPr>
      <w:rPr>
        <w:rFonts w:ascii="Cambria" w:hAnsi="Cambria" w:hint="default"/>
        <w:b w:val="0"/>
        <w:i w:val="0"/>
        <w:sz w:val="22"/>
      </w:rPr>
    </w:lvl>
  </w:abstractNum>
  <w:abstractNum w:abstractNumId="29" w15:restartNumberingAfterBreak="0">
    <w:nsid w:val="7CC84C6D"/>
    <w:multiLevelType w:val="multilevel"/>
    <w:tmpl w:val="67B04D5E"/>
    <w:lvl w:ilvl="0">
      <w:start w:val="2"/>
      <w:numFmt w:val="decimal"/>
      <w:lvlText w:val="%1"/>
      <w:lvlJc w:val="left"/>
      <w:pPr>
        <w:ind w:left="502" w:hanging="360"/>
      </w:pPr>
      <w:rPr>
        <w:rFonts w:hint="default"/>
      </w:rPr>
    </w:lvl>
    <w:lvl w:ilvl="1">
      <w:start w:val="1"/>
      <w:numFmt w:val="decimal"/>
      <w:isLgl/>
      <w:lvlText w:val="%1.%2"/>
      <w:lvlJc w:val="left"/>
      <w:pPr>
        <w:ind w:left="502" w:hanging="360"/>
      </w:pPr>
      <w:rPr>
        <w:rFonts w:ascii="Cambria" w:hAnsi="Cambria" w:hint="default"/>
        <w:b w:val="0"/>
        <w:i w:val="0"/>
        <w:sz w:val="22"/>
      </w:rPr>
    </w:lvl>
    <w:lvl w:ilvl="2">
      <w:start w:val="1"/>
      <w:numFmt w:val="decimal"/>
      <w:isLgl/>
      <w:lvlText w:val="%1.%2.%3"/>
      <w:lvlJc w:val="left"/>
      <w:pPr>
        <w:ind w:left="862" w:hanging="720"/>
      </w:pPr>
      <w:rPr>
        <w:rFonts w:ascii="Cambria" w:hAnsi="Cambria" w:hint="default"/>
        <w:b w:val="0"/>
        <w:i w:val="0"/>
        <w:sz w:val="22"/>
      </w:rPr>
    </w:lvl>
    <w:lvl w:ilvl="3">
      <w:start w:val="1"/>
      <w:numFmt w:val="decimal"/>
      <w:isLgl/>
      <w:lvlText w:val="%1.%2.%3.%4"/>
      <w:lvlJc w:val="left"/>
      <w:pPr>
        <w:ind w:left="862" w:hanging="720"/>
      </w:pPr>
      <w:rPr>
        <w:rFonts w:ascii="Cambria" w:hAnsi="Cambria" w:hint="default"/>
        <w:b w:val="0"/>
        <w:i w:val="0"/>
        <w:sz w:val="22"/>
      </w:rPr>
    </w:lvl>
    <w:lvl w:ilvl="4">
      <w:start w:val="1"/>
      <w:numFmt w:val="decimal"/>
      <w:isLgl/>
      <w:lvlText w:val="%1.%2.%3.%4.%5"/>
      <w:lvlJc w:val="left"/>
      <w:pPr>
        <w:ind w:left="1222" w:hanging="1080"/>
      </w:pPr>
      <w:rPr>
        <w:rFonts w:ascii="Cambria" w:hAnsi="Cambria" w:hint="default"/>
        <w:b w:val="0"/>
        <w:i w:val="0"/>
        <w:sz w:val="22"/>
      </w:rPr>
    </w:lvl>
    <w:lvl w:ilvl="5">
      <w:start w:val="1"/>
      <w:numFmt w:val="decimal"/>
      <w:isLgl/>
      <w:lvlText w:val="%1.%2.%3.%4.%5.%6"/>
      <w:lvlJc w:val="left"/>
      <w:pPr>
        <w:ind w:left="1222" w:hanging="1080"/>
      </w:pPr>
      <w:rPr>
        <w:rFonts w:ascii="Cambria" w:hAnsi="Cambria" w:hint="default"/>
        <w:b w:val="0"/>
        <w:i w:val="0"/>
        <w:sz w:val="22"/>
      </w:rPr>
    </w:lvl>
    <w:lvl w:ilvl="6">
      <w:start w:val="1"/>
      <w:numFmt w:val="decimal"/>
      <w:isLgl/>
      <w:lvlText w:val="%1.%2.%3.%4.%5.%6.%7"/>
      <w:lvlJc w:val="left"/>
      <w:pPr>
        <w:ind w:left="1582" w:hanging="1440"/>
      </w:pPr>
      <w:rPr>
        <w:rFonts w:ascii="Cambria" w:hAnsi="Cambria" w:hint="default"/>
        <w:b w:val="0"/>
        <w:i w:val="0"/>
        <w:sz w:val="22"/>
      </w:rPr>
    </w:lvl>
    <w:lvl w:ilvl="7">
      <w:start w:val="1"/>
      <w:numFmt w:val="decimal"/>
      <w:isLgl/>
      <w:lvlText w:val="%1.%2.%3.%4.%5.%6.%7.%8"/>
      <w:lvlJc w:val="left"/>
      <w:pPr>
        <w:ind w:left="1582" w:hanging="1440"/>
      </w:pPr>
      <w:rPr>
        <w:rFonts w:ascii="Cambria" w:hAnsi="Cambria" w:hint="default"/>
        <w:b w:val="0"/>
        <w:i w:val="0"/>
        <w:sz w:val="22"/>
      </w:rPr>
    </w:lvl>
    <w:lvl w:ilvl="8">
      <w:start w:val="1"/>
      <w:numFmt w:val="decimal"/>
      <w:isLgl/>
      <w:lvlText w:val="%1.%2.%3.%4.%5.%6.%7.%8.%9"/>
      <w:lvlJc w:val="left"/>
      <w:pPr>
        <w:ind w:left="1942" w:hanging="1800"/>
      </w:pPr>
      <w:rPr>
        <w:rFonts w:ascii="Cambria" w:hAnsi="Cambria" w:hint="default"/>
        <w:b w:val="0"/>
        <w:i w:val="0"/>
        <w:sz w:val="22"/>
      </w:rPr>
    </w:lvl>
  </w:abstractNum>
  <w:num w:numId="1">
    <w:abstractNumId w:val="16"/>
  </w:num>
  <w:num w:numId="2">
    <w:abstractNumId w:val="27"/>
  </w:num>
  <w:num w:numId="3">
    <w:abstractNumId w:val="27"/>
  </w:num>
  <w:num w:numId="4">
    <w:abstractNumId w:val="8"/>
  </w:num>
  <w:num w:numId="5">
    <w:abstractNumId w:val="4"/>
  </w:num>
  <w:num w:numId="6">
    <w:abstractNumId w:val="2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28"/>
  </w:num>
  <w:num w:numId="12">
    <w:abstractNumId w:val="13"/>
  </w:num>
  <w:num w:numId="13">
    <w:abstractNumId w:val="2"/>
  </w:num>
  <w:num w:numId="14">
    <w:abstractNumId w:val="6"/>
  </w:num>
  <w:num w:numId="15">
    <w:abstractNumId w:val="5"/>
  </w:num>
  <w:num w:numId="16">
    <w:abstractNumId w:val="11"/>
  </w:num>
  <w:num w:numId="17">
    <w:abstractNumId w:val="27"/>
  </w:num>
  <w:num w:numId="18">
    <w:abstractNumId w:val="27"/>
  </w:num>
  <w:num w:numId="19">
    <w:abstractNumId w:val="19"/>
  </w:num>
  <w:num w:numId="20">
    <w:abstractNumId w:val="0"/>
  </w:num>
  <w:num w:numId="21">
    <w:abstractNumId w:val="9"/>
  </w:num>
  <w:num w:numId="22">
    <w:abstractNumId w:val="29"/>
  </w:num>
  <w:num w:numId="23">
    <w:abstractNumId w:val="20"/>
  </w:num>
  <w:num w:numId="24">
    <w:abstractNumId w:val="17"/>
  </w:num>
  <w:num w:numId="25">
    <w:abstractNumId w:val="26"/>
  </w:num>
  <w:num w:numId="26">
    <w:abstractNumId w:val="10"/>
  </w:num>
  <w:num w:numId="27">
    <w:abstractNumId w:val="24"/>
  </w:num>
  <w:num w:numId="28">
    <w:abstractNumId w:val="23"/>
  </w:num>
  <w:num w:numId="29">
    <w:abstractNumId w:val="15"/>
  </w:num>
  <w:num w:numId="30">
    <w:abstractNumId w:val="25"/>
  </w:num>
  <w:num w:numId="31">
    <w:abstractNumId w:val="7"/>
  </w:num>
  <w:num w:numId="32">
    <w:abstractNumId w:val="18"/>
  </w:num>
  <w:num w:numId="33">
    <w:abstractNumId w:val="21"/>
  </w:num>
  <w:num w:numId="34">
    <w:abstractNumId w:val="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F1"/>
    <w:rsid w:val="0000443C"/>
    <w:rsid w:val="00020DDE"/>
    <w:rsid w:val="000565CD"/>
    <w:rsid w:val="000853B1"/>
    <w:rsid w:val="00091749"/>
    <w:rsid w:val="000B5A32"/>
    <w:rsid w:val="000C2A7D"/>
    <w:rsid w:val="000C64B9"/>
    <w:rsid w:val="000D0650"/>
    <w:rsid w:val="000E0E98"/>
    <w:rsid w:val="000E0FB5"/>
    <w:rsid w:val="000F0DF6"/>
    <w:rsid w:val="000F11A9"/>
    <w:rsid w:val="000F1608"/>
    <w:rsid w:val="000F3448"/>
    <w:rsid w:val="0010779C"/>
    <w:rsid w:val="001350EF"/>
    <w:rsid w:val="0017066F"/>
    <w:rsid w:val="00171916"/>
    <w:rsid w:val="001A4253"/>
    <w:rsid w:val="001B1A54"/>
    <w:rsid w:val="001C323F"/>
    <w:rsid w:val="001C5447"/>
    <w:rsid w:val="001F0D99"/>
    <w:rsid w:val="00210349"/>
    <w:rsid w:val="002119E8"/>
    <w:rsid w:val="00212019"/>
    <w:rsid w:val="00257939"/>
    <w:rsid w:val="002664C4"/>
    <w:rsid w:val="00271043"/>
    <w:rsid w:val="002736FF"/>
    <w:rsid w:val="00283F3A"/>
    <w:rsid w:val="00294557"/>
    <w:rsid w:val="002A5C00"/>
    <w:rsid w:val="002C51B7"/>
    <w:rsid w:val="00304773"/>
    <w:rsid w:val="00346696"/>
    <w:rsid w:val="003538BB"/>
    <w:rsid w:val="00356259"/>
    <w:rsid w:val="00360CCB"/>
    <w:rsid w:val="00381C48"/>
    <w:rsid w:val="00384EB2"/>
    <w:rsid w:val="00393408"/>
    <w:rsid w:val="003A4B87"/>
    <w:rsid w:val="003D39B8"/>
    <w:rsid w:val="003E33CC"/>
    <w:rsid w:val="003E59A9"/>
    <w:rsid w:val="003F04C6"/>
    <w:rsid w:val="00426584"/>
    <w:rsid w:val="004636B6"/>
    <w:rsid w:val="0048571D"/>
    <w:rsid w:val="00487F12"/>
    <w:rsid w:val="004A2C25"/>
    <w:rsid w:val="004E2C6C"/>
    <w:rsid w:val="004F663F"/>
    <w:rsid w:val="0050180C"/>
    <w:rsid w:val="00507D6C"/>
    <w:rsid w:val="00512F1F"/>
    <w:rsid w:val="00535A31"/>
    <w:rsid w:val="00542CCC"/>
    <w:rsid w:val="00546078"/>
    <w:rsid w:val="005741F4"/>
    <w:rsid w:val="005832DF"/>
    <w:rsid w:val="00590B74"/>
    <w:rsid w:val="00591BD5"/>
    <w:rsid w:val="005A6BD0"/>
    <w:rsid w:val="005A6F18"/>
    <w:rsid w:val="005C023D"/>
    <w:rsid w:val="005C2F3E"/>
    <w:rsid w:val="005D24C0"/>
    <w:rsid w:val="005F3164"/>
    <w:rsid w:val="006024F3"/>
    <w:rsid w:val="00603F9F"/>
    <w:rsid w:val="00637DF7"/>
    <w:rsid w:val="006401EF"/>
    <w:rsid w:val="00642BCD"/>
    <w:rsid w:val="006575C7"/>
    <w:rsid w:val="00667352"/>
    <w:rsid w:val="00673D24"/>
    <w:rsid w:val="006912BB"/>
    <w:rsid w:val="006B4776"/>
    <w:rsid w:val="006C0960"/>
    <w:rsid w:val="006D3F89"/>
    <w:rsid w:val="006E78C1"/>
    <w:rsid w:val="006F01F1"/>
    <w:rsid w:val="006F0B7D"/>
    <w:rsid w:val="006F212E"/>
    <w:rsid w:val="006F7EEA"/>
    <w:rsid w:val="007056A3"/>
    <w:rsid w:val="007072D4"/>
    <w:rsid w:val="00713077"/>
    <w:rsid w:val="007221BB"/>
    <w:rsid w:val="007827A8"/>
    <w:rsid w:val="007B6BEF"/>
    <w:rsid w:val="007C0616"/>
    <w:rsid w:val="007E30ED"/>
    <w:rsid w:val="007F2CD4"/>
    <w:rsid w:val="007F369C"/>
    <w:rsid w:val="007F43D5"/>
    <w:rsid w:val="007F7D42"/>
    <w:rsid w:val="008348D7"/>
    <w:rsid w:val="00847D75"/>
    <w:rsid w:val="00854E4D"/>
    <w:rsid w:val="00864CA5"/>
    <w:rsid w:val="00882B1C"/>
    <w:rsid w:val="00883D22"/>
    <w:rsid w:val="008853F4"/>
    <w:rsid w:val="00886A63"/>
    <w:rsid w:val="008B09C7"/>
    <w:rsid w:val="008C3953"/>
    <w:rsid w:val="008C7018"/>
    <w:rsid w:val="008D3BC4"/>
    <w:rsid w:val="008D5057"/>
    <w:rsid w:val="008E0EDA"/>
    <w:rsid w:val="008F2EF4"/>
    <w:rsid w:val="00913269"/>
    <w:rsid w:val="0091509A"/>
    <w:rsid w:val="00916267"/>
    <w:rsid w:val="00920567"/>
    <w:rsid w:val="00931DEB"/>
    <w:rsid w:val="00953217"/>
    <w:rsid w:val="0095426A"/>
    <w:rsid w:val="009771CE"/>
    <w:rsid w:val="0098048D"/>
    <w:rsid w:val="009C165D"/>
    <w:rsid w:val="009E33D6"/>
    <w:rsid w:val="009E5E45"/>
    <w:rsid w:val="009F3B9A"/>
    <w:rsid w:val="00A03FA8"/>
    <w:rsid w:val="00A0727E"/>
    <w:rsid w:val="00A721C5"/>
    <w:rsid w:val="00AB3F4E"/>
    <w:rsid w:val="00AC46A4"/>
    <w:rsid w:val="00AD01D8"/>
    <w:rsid w:val="00AD066D"/>
    <w:rsid w:val="00AE1CBE"/>
    <w:rsid w:val="00AE34F0"/>
    <w:rsid w:val="00AF61E5"/>
    <w:rsid w:val="00B2353D"/>
    <w:rsid w:val="00B25D7C"/>
    <w:rsid w:val="00B26EBC"/>
    <w:rsid w:val="00B27689"/>
    <w:rsid w:val="00B30468"/>
    <w:rsid w:val="00B36E9E"/>
    <w:rsid w:val="00B65D75"/>
    <w:rsid w:val="00BF72D5"/>
    <w:rsid w:val="00C12545"/>
    <w:rsid w:val="00C14E40"/>
    <w:rsid w:val="00C21780"/>
    <w:rsid w:val="00C2679D"/>
    <w:rsid w:val="00C44970"/>
    <w:rsid w:val="00C64954"/>
    <w:rsid w:val="00C65D65"/>
    <w:rsid w:val="00C725AD"/>
    <w:rsid w:val="00C76DE6"/>
    <w:rsid w:val="00C80826"/>
    <w:rsid w:val="00CA619D"/>
    <w:rsid w:val="00CB03D9"/>
    <w:rsid w:val="00CB27AE"/>
    <w:rsid w:val="00CB7DC0"/>
    <w:rsid w:val="00CE4503"/>
    <w:rsid w:val="00CF5452"/>
    <w:rsid w:val="00CF6754"/>
    <w:rsid w:val="00D0055D"/>
    <w:rsid w:val="00D14C25"/>
    <w:rsid w:val="00D2311A"/>
    <w:rsid w:val="00D42337"/>
    <w:rsid w:val="00D435BA"/>
    <w:rsid w:val="00D6716B"/>
    <w:rsid w:val="00D84033"/>
    <w:rsid w:val="00D92B09"/>
    <w:rsid w:val="00D9371D"/>
    <w:rsid w:val="00D94320"/>
    <w:rsid w:val="00D95BD0"/>
    <w:rsid w:val="00DB0BED"/>
    <w:rsid w:val="00DC0FE7"/>
    <w:rsid w:val="00DF06B3"/>
    <w:rsid w:val="00DF3A15"/>
    <w:rsid w:val="00DF5870"/>
    <w:rsid w:val="00DF5FCF"/>
    <w:rsid w:val="00E10449"/>
    <w:rsid w:val="00E163A2"/>
    <w:rsid w:val="00E30BBD"/>
    <w:rsid w:val="00E470A2"/>
    <w:rsid w:val="00E47CCB"/>
    <w:rsid w:val="00E93B4A"/>
    <w:rsid w:val="00EB036D"/>
    <w:rsid w:val="00ED5B2C"/>
    <w:rsid w:val="00EE575A"/>
    <w:rsid w:val="00EE5A21"/>
    <w:rsid w:val="00EE6D07"/>
    <w:rsid w:val="00EF723A"/>
    <w:rsid w:val="00F21AEF"/>
    <w:rsid w:val="00F21BA4"/>
    <w:rsid w:val="00F31A8E"/>
    <w:rsid w:val="00F328B3"/>
    <w:rsid w:val="00F71B18"/>
    <w:rsid w:val="00F739B3"/>
    <w:rsid w:val="00FA351A"/>
    <w:rsid w:val="00FE65E4"/>
    <w:rsid w:val="00FF18C2"/>
    <w:rsid w:val="00FF654E"/>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F5EB72"/>
  <w15:docId w15:val="{77E2E772-0B0B-4428-A497-40418115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3FC"/>
    <w:pPr>
      <w:jc w:val="both"/>
    </w:pPr>
    <w:rPr>
      <w:rFonts w:ascii="Cambria" w:hAnsi="Cambria"/>
      <w:sz w:val="22"/>
      <w:szCs w:val="24"/>
    </w:rPr>
  </w:style>
  <w:style w:type="paragraph" w:styleId="Titre1">
    <w:name w:val="heading 1"/>
    <w:basedOn w:val="Normal"/>
    <w:next w:val="Normal"/>
    <w:link w:val="Titre1Car"/>
    <w:qFormat/>
    <w:rsid w:val="006903FC"/>
    <w:pPr>
      <w:keepNext/>
      <w:numPr>
        <w:numId w:val="3"/>
      </w:numPr>
      <w:spacing w:before="240" w:after="60"/>
      <w:outlineLvl w:val="0"/>
    </w:pPr>
    <w:rPr>
      <w:b/>
      <w:kern w:val="28"/>
      <w:sz w:val="26"/>
    </w:rPr>
  </w:style>
  <w:style w:type="paragraph" w:styleId="Titre2">
    <w:name w:val="heading 2"/>
    <w:basedOn w:val="Normal"/>
    <w:next w:val="Normal"/>
    <w:link w:val="Titre2Car"/>
    <w:qFormat/>
    <w:rsid w:val="006903FC"/>
    <w:pPr>
      <w:keepNext/>
      <w:numPr>
        <w:ilvl w:val="1"/>
        <w:numId w:val="3"/>
      </w:numPr>
      <w:spacing w:before="240" w:after="60"/>
      <w:jc w:val="left"/>
      <w:outlineLvl w:val="1"/>
    </w:pPr>
    <w:rPr>
      <w:rFonts w:ascii="Calibri" w:hAnsi="Calibri"/>
      <w:i/>
      <w:sz w:val="24"/>
    </w:rPr>
  </w:style>
  <w:style w:type="paragraph" w:styleId="Titre3">
    <w:name w:val="heading 3"/>
    <w:basedOn w:val="Normal"/>
    <w:next w:val="Normal"/>
    <w:qFormat/>
    <w:rsid w:val="0043331D"/>
    <w:pPr>
      <w:keepNext/>
      <w:numPr>
        <w:ilvl w:val="2"/>
        <w:numId w:val="3"/>
      </w:numPr>
      <w:spacing w:before="240" w:after="60"/>
      <w:outlineLvl w:val="2"/>
    </w:pPr>
    <w:rPr>
      <w:u w:val="single"/>
    </w:rPr>
  </w:style>
  <w:style w:type="paragraph" w:styleId="Titre4">
    <w:name w:val="heading 4"/>
    <w:basedOn w:val="Normal"/>
    <w:next w:val="Normal"/>
    <w:qFormat/>
    <w:rsid w:val="0043331D"/>
    <w:pPr>
      <w:keepNext/>
      <w:numPr>
        <w:ilvl w:val="3"/>
        <w:numId w:val="3"/>
      </w:numPr>
      <w:spacing w:before="240" w:after="60"/>
      <w:outlineLvl w:val="3"/>
    </w:pPr>
    <w:rPr>
      <w:b/>
      <w:i/>
    </w:rPr>
  </w:style>
  <w:style w:type="paragraph" w:styleId="Titre5">
    <w:name w:val="heading 5"/>
    <w:basedOn w:val="Normal"/>
    <w:next w:val="Normal"/>
    <w:qFormat/>
    <w:rsid w:val="0043331D"/>
    <w:pPr>
      <w:numPr>
        <w:ilvl w:val="4"/>
        <w:numId w:val="3"/>
      </w:numPr>
      <w:spacing w:before="240" w:after="60"/>
      <w:outlineLvl w:val="4"/>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uiPriority w:val="39"/>
    <w:rsid w:val="006903FC"/>
    <w:pPr>
      <w:tabs>
        <w:tab w:val="right" w:leader="dot" w:pos="9071"/>
      </w:tabs>
      <w:spacing w:before="200"/>
      <w:jc w:val="left"/>
    </w:pPr>
    <w:rPr>
      <w:b/>
    </w:rPr>
  </w:style>
  <w:style w:type="paragraph" w:styleId="Pieddepage">
    <w:name w:val="footer"/>
    <w:basedOn w:val="Normal"/>
    <w:link w:val="PieddepageCar"/>
    <w:uiPriority w:val="99"/>
    <w:rsid w:val="005B1727"/>
    <w:pPr>
      <w:tabs>
        <w:tab w:val="center" w:pos="4536"/>
        <w:tab w:val="right" w:pos="9072"/>
      </w:tabs>
    </w:pPr>
    <w:rPr>
      <w:rFonts w:ascii="Calibri" w:hAnsi="Calibri"/>
      <w:sz w:val="16"/>
    </w:rPr>
  </w:style>
  <w:style w:type="paragraph" w:styleId="TM2">
    <w:name w:val="toc 2"/>
    <w:basedOn w:val="Normal"/>
    <w:next w:val="Normal"/>
    <w:uiPriority w:val="39"/>
    <w:rsid w:val="006903FC"/>
    <w:pPr>
      <w:tabs>
        <w:tab w:val="right" w:leader="dot" w:pos="9072"/>
      </w:tabs>
      <w:jc w:val="left"/>
    </w:pPr>
  </w:style>
  <w:style w:type="paragraph" w:styleId="En-tte">
    <w:name w:val="header"/>
    <w:basedOn w:val="Normal"/>
    <w:semiHidden/>
    <w:rsid w:val="006903FC"/>
    <w:pPr>
      <w:pBdr>
        <w:bottom w:val="single" w:sz="6" w:space="1" w:color="E36C0A"/>
      </w:pBdr>
      <w:tabs>
        <w:tab w:val="center" w:pos="4536"/>
        <w:tab w:val="right" w:pos="9072"/>
      </w:tabs>
      <w:jc w:val="left"/>
    </w:pPr>
    <w:rPr>
      <w:rFonts w:ascii="Calibri" w:hAnsi="Calibri"/>
      <w:sz w:val="16"/>
    </w:rPr>
  </w:style>
  <w:style w:type="paragraph" w:styleId="TM3">
    <w:name w:val="toc 3"/>
    <w:basedOn w:val="Normal"/>
    <w:next w:val="Normal"/>
    <w:semiHidden/>
    <w:rsid w:val="0043331D"/>
    <w:pPr>
      <w:tabs>
        <w:tab w:val="right" w:pos="9071"/>
      </w:tabs>
    </w:pPr>
    <w:rPr>
      <w:smallCaps/>
    </w:rPr>
  </w:style>
  <w:style w:type="paragraph" w:styleId="TM4">
    <w:name w:val="toc 4"/>
    <w:basedOn w:val="Normal"/>
    <w:next w:val="Normal"/>
    <w:semiHidden/>
    <w:rsid w:val="0043331D"/>
    <w:pPr>
      <w:tabs>
        <w:tab w:val="right" w:pos="9071"/>
      </w:tabs>
    </w:pPr>
  </w:style>
  <w:style w:type="paragraph" w:styleId="TM5">
    <w:name w:val="toc 5"/>
    <w:basedOn w:val="Normal"/>
    <w:next w:val="Normal"/>
    <w:semiHidden/>
    <w:rsid w:val="0043331D"/>
    <w:pPr>
      <w:tabs>
        <w:tab w:val="right" w:pos="9071"/>
      </w:tabs>
    </w:pPr>
  </w:style>
  <w:style w:type="paragraph" w:styleId="TM6">
    <w:name w:val="toc 6"/>
    <w:basedOn w:val="Normal"/>
    <w:next w:val="Normal"/>
    <w:semiHidden/>
    <w:rsid w:val="0043331D"/>
    <w:pPr>
      <w:tabs>
        <w:tab w:val="right" w:pos="9071"/>
      </w:tabs>
    </w:pPr>
  </w:style>
  <w:style w:type="paragraph" w:styleId="TM7">
    <w:name w:val="toc 7"/>
    <w:basedOn w:val="Normal"/>
    <w:next w:val="Normal"/>
    <w:semiHidden/>
    <w:rsid w:val="0043331D"/>
    <w:pPr>
      <w:tabs>
        <w:tab w:val="right" w:pos="9071"/>
      </w:tabs>
    </w:pPr>
  </w:style>
  <w:style w:type="paragraph" w:styleId="TM8">
    <w:name w:val="toc 8"/>
    <w:basedOn w:val="Normal"/>
    <w:next w:val="Normal"/>
    <w:semiHidden/>
    <w:rsid w:val="0043331D"/>
    <w:pPr>
      <w:tabs>
        <w:tab w:val="right" w:pos="9071"/>
      </w:tabs>
    </w:pPr>
  </w:style>
  <w:style w:type="paragraph" w:styleId="TM9">
    <w:name w:val="toc 9"/>
    <w:basedOn w:val="Normal"/>
    <w:next w:val="Normal"/>
    <w:semiHidden/>
    <w:rsid w:val="0043331D"/>
    <w:pPr>
      <w:tabs>
        <w:tab w:val="right" w:pos="9071"/>
      </w:tabs>
    </w:pPr>
  </w:style>
  <w:style w:type="paragraph" w:styleId="Commentaire">
    <w:name w:val="annotation text"/>
    <w:basedOn w:val="Normal"/>
    <w:link w:val="CommentaireCar"/>
    <w:semiHidden/>
    <w:rsid w:val="0043331D"/>
  </w:style>
  <w:style w:type="paragraph" w:customStyle="1" w:styleId="Normal1">
    <w:name w:val="Normal1"/>
    <w:basedOn w:val="Normal"/>
    <w:rsid w:val="0043331D"/>
    <w:pPr>
      <w:keepLines/>
      <w:tabs>
        <w:tab w:val="left" w:pos="284"/>
        <w:tab w:val="left" w:pos="567"/>
        <w:tab w:val="left" w:pos="851"/>
      </w:tabs>
      <w:ind w:firstLine="284"/>
    </w:pPr>
  </w:style>
  <w:style w:type="paragraph" w:styleId="NormalWeb">
    <w:name w:val="Normal (Web)"/>
    <w:basedOn w:val="Normal"/>
    <w:uiPriority w:val="99"/>
    <w:unhideWhenUsed/>
    <w:rsid w:val="00FF05C9"/>
    <w:pPr>
      <w:spacing w:before="100" w:beforeAutospacing="1" w:after="100" w:afterAutospacing="1"/>
      <w:jc w:val="left"/>
    </w:pPr>
    <w:rPr>
      <w:rFonts w:ascii="Times New Roman" w:hAnsi="Times New Roman"/>
      <w:sz w:val="24"/>
    </w:rPr>
  </w:style>
  <w:style w:type="character" w:customStyle="1" w:styleId="CommentaireCar">
    <w:name w:val="Commentaire Car"/>
    <w:basedOn w:val="Policepardfaut"/>
    <w:link w:val="Commentaire"/>
    <w:semiHidden/>
    <w:rsid w:val="00F7550B"/>
    <w:rPr>
      <w:rFonts w:ascii="Cambria" w:hAnsi="Cambria"/>
      <w:sz w:val="22"/>
    </w:rPr>
  </w:style>
  <w:style w:type="paragraph" w:customStyle="1" w:styleId="Style1">
    <w:name w:val="Style1"/>
    <w:basedOn w:val="Titre2"/>
    <w:rsid w:val="0043331D"/>
    <w:pPr>
      <w:ind w:left="851"/>
      <w:outlineLvl w:val="9"/>
    </w:pPr>
  </w:style>
  <w:style w:type="character" w:styleId="Numrodepage">
    <w:name w:val="page number"/>
    <w:basedOn w:val="Policepardfaut"/>
    <w:semiHidden/>
    <w:rsid w:val="0043331D"/>
  </w:style>
  <w:style w:type="paragraph" w:customStyle="1" w:styleId="Erreur">
    <w:name w:val="Erreur"/>
    <w:basedOn w:val="Normal"/>
    <w:rsid w:val="0043331D"/>
    <w:pPr>
      <w:jc w:val="center"/>
    </w:pPr>
    <w:rPr>
      <w:i/>
      <w:sz w:val="20"/>
    </w:rPr>
  </w:style>
  <w:style w:type="paragraph" w:styleId="Titre">
    <w:name w:val="Title"/>
    <w:basedOn w:val="Normal"/>
    <w:link w:val="TitreCar"/>
    <w:qFormat/>
    <w:rsid w:val="006903FC"/>
    <w:pPr>
      <w:jc w:val="center"/>
    </w:pPr>
    <w:rPr>
      <w:rFonts w:ascii="Calibri" w:hAnsi="Calibri"/>
      <w:b/>
      <w:sz w:val="28"/>
    </w:rPr>
  </w:style>
  <w:style w:type="character" w:styleId="Appelnotedebasdep">
    <w:name w:val="footnote reference"/>
    <w:basedOn w:val="Policepardfaut"/>
    <w:semiHidden/>
    <w:rsid w:val="0043331D"/>
    <w:rPr>
      <w:vertAlign w:val="superscript"/>
    </w:rPr>
  </w:style>
  <w:style w:type="paragraph" w:styleId="Notedebasdepage">
    <w:name w:val="footnote text"/>
    <w:basedOn w:val="Normal"/>
    <w:semiHidden/>
    <w:rsid w:val="006903FC"/>
    <w:rPr>
      <w:sz w:val="16"/>
    </w:rPr>
  </w:style>
  <w:style w:type="paragraph" w:styleId="Signature">
    <w:name w:val="Signature"/>
    <w:basedOn w:val="Normal"/>
    <w:semiHidden/>
    <w:rsid w:val="0043331D"/>
    <w:pPr>
      <w:ind w:left="4252"/>
    </w:pPr>
  </w:style>
  <w:style w:type="paragraph" w:customStyle="1" w:styleId="Tabulation-Point2">
    <w:name w:val="Tabulation - Point 2"/>
    <w:basedOn w:val="Normal"/>
    <w:rsid w:val="0043331D"/>
    <w:pPr>
      <w:tabs>
        <w:tab w:val="left" w:leader="dot" w:pos="9072"/>
      </w:tabs>
    </w:pPr>
  </w:style>
  <w:style w:type="paragraph" w:customStyle="1" w:styleId="Tabulation-Points">
    <w:name w:val="Tabulation - Points"/>
    <w:basedOn w:val="Normal"/>
    <w:rsid w:val="0043331D"/>
    <w:pPr>
      <w:tabs>
        <w:tab w:val="left" w:leader="dot" w:pos="9072"/>
      </w:tabs>
      <w:ind w:left="284"/>
    </w:pPr>
  </w:style>
  <w:style w:type="paragraph" w:customStyle="1" w:styleId="Tabulation-Points2">
    <w:name w:val="Tabulation - Points 2"/>
    <w:basedOn w:val="Tabulation-Point2"/>
    <w:rsid w:val="0043331D"/>
  </w:style>
  <w:style w:type="character" w:customStyle="1" w:styleId="TitreCar">
    <w:name w:val="Titre Car"/>
    <w:basedOn w:val="Policepardfaut"/>
    <w:link w:val="Titre"/>
    <w:rsid w:val="00D36C24"/>
    <w:rPr>
      <w:rFonts w:ascii="Calibri" w:hAnsi="Calibri"/>
      <w:b/>
      <w:sz w:val="28"/>
    </w:rPr>
  </w:style>
  <w:style w:type="character" w:styleId="Lienhypertexte">
    <w:name w:val="Hyperlink"/>
    <w:basedOn w:val="Policepardfaut"/>
    <w:uiPriority w:val="99"/>
    <w:unhideWhenUsed/>
    <w:rsid w:val="001302C1"/>
    <w:rPr>
      <w:color w:val="0000FF"/>
      <w:u w:val="single"/>
    </w:rPr>
  </w:style>
  <w:style w:type="paragraph" w:customStyle="1" w:styleId="Normal2">
    <w:name w:val="Normal2"/>
    <w:basedOn w:val="Normal"/>
    <w:rsid w:val="002D492D"/>
    <w:pPr>
      <w:keepLines/>
      <w:tabs>
        <w:tab w:val="left" w:pos="567"/>
        <w:tab w:val="left" w:pos="851"/>
        <w:tab w:val="left" w:pos="1134"/>
      </w:tabs>
      <w:overflowPunct w:val="0"/>
      <w:autoSpaceDE w:val="0"/>
      <w:autoSpaceDN w:val="0"/>
      <w:adjustRightInd w:val="0"/>
      <w:ind w:left="284" w:firstLine="284"/>
      <w:textAlignment w:val="baseline"/>
    </w:pPr>
    <w:rPr>
      <w:rFonts w:ascii="Times New Roman" w:hAnsi="Times New Roman"/>
      <w:sz w:val="24"/>
    </w:rPr>
  </w:style>
  <w:style w:type="paragraph" w:customStyle="1" w:styleId="Listecouleur-Accent11">
    <w:name w:val="Liste couleur - Accent 11"/>
    <w:basedOn w:val="Normal"/>
    <w:uiPriority w:val="34"/>
    <w:qFormat/>
    <w:rsid w:val="00DF5A35"/>
    <w:pPr>
      <w:ind w:left="720"/>
      <w:contextualSpacing/>
    </w:pPr>
  </w:style>
  <w:style w:type="character" w:customStyle="1" w:styleId="Titre1Car">
    <w:name w:val="Titre 1 Car"/>
    <w:basedOn w:val="Policepardfaut"/>
    <w:link w:val="Titre1"/>
    <w:rsid w:val="00446B23"/>
    <w:rPr>
      <w:rFonts w:ascii="Cambria" w:hAnsi="Cambria"/>
      <w:b/>
      <w:kern w:val="28"/>
      <w:sz w:val="26"/>
      <w:szCs w:val="24"/>
    </w:rPr>
  </w:style>
  <w:style w:type="paragraph" w:styleId="Paragraphedeliste">
    <w:name w:val="List Paragraph"/>
    <w:basedOn w:val="Normal"/>
    <w:uiPriority w:val="72"/>
    <w:qFormat/>
    <w:rsid w:val="00847D75"/>
    <w:pPr>
      <w:ind w:left="720"/>
      <w:contextualSpacing/>
    </w:pPr>
  </w:style>
  <w:style w:type="character" w:customStyle="1" w:styleId="Titre2Car">
    <w:name w:val="Titre 2 Car"/>
    <w:basedOn w:val="Policepardfaut"/>
    <w:link w:val="Titre2"/>
    <w:rsid w:val="00E163A2"/>
    <w:rPr>
      <w:rFonts w:ascii="Calibri" w:hAnsi="Calibri"/>
      <w:i/>
      <w:sz w:val="24"/>
      <w:szCs w:val="24"/>
    </w:rPr>
  </w:style>
  <w:style w:type="character" w:styleId="Marquedecommentaire">
    <w:name w:val="annotation reference"/>
    <w:basedOn w:val="Policepardfaut"/>
    <w:uiPriority w:val="99"/>
    <w:semiHidden/>
    <w:unhideWhenUsed/>
    <w:rsid w:val="000F1608"/>
    <w:rPr>
      <w:sz w:val="16"/>
      <w:szCs w:val="16"/>
    </w:rPr>
  </w:style>
  <w:style w:type="paragraph" w:styleId="Objetducommentaire">
    <w:name w:val="annotation subject"/>
    <w:basedOn w:val="Commentaire"/>
    <w:next w:val="Commentaire"/>
    <w:link w:val="ObjetducommentaireCar"/>
    <w:uiPriority w:val="99"/>
    <w:semiHidden/>
    <w:unhideWhenUsed/>
    <w:rsid w:val="000F1608"/>
    <w:rPr>
      <w:b/>
      <w:bCs/>
      <w:sz w:val="20"/>
      <w:szCs w:val="20"/>
    </w:rPr>
  </w:style>
  <w:style w:type="character" w:customStyle="1" w:styleId="ObjetducommentaireCar">
    <w:name w:val="Objet du commentaire Car"/>
    <w:basedOn w:val="CommentaireCar"/>
    <w:link w:val="Objetducommentaire"/>
    <w:uiPriority w:val="99"/>
    <w:semiHidden/>
    <w:rsid w:val="000F1608"/>
    <w:rPr>
      <w:rFonts w:ascii="Cambria" w:hAnsi="Cambria"/>
      <w:b/>
      <w:bCs/>
      <w:sz w:val="22"/>
    </w:rPr>
  </w:style>
  <w:style w:type="paragraph" w:styleId="Textedebulles">
    <w:name w:val="Balloon Text"/>
    <w:basedOn w:val="Normal"/>
    <w:link w:val="TextedebullesCar"/>
    <w:uiPriority w:val="99"/>
    <w:semiHidden/>
    <w:unhideWhenUsed/>
    <w:rsid w:val="000F1608"/>
    <w:rPr>
      <w:rFonts w:ascii="Tahoma" w:hAnsi="Tahoma" w:cs="Tahoma"/>
      <w:sz w:val="16"/>
      <w:szCs w:val="16"/>
    </w:rPr>
  </w:style>
  <w:style w:type="character" w:customStyle="1" w:styleId="TextedebullesCar">
    <w:name w:val="Texte de bulles Car"/>
    <w:basedOn w:val="Policepardfaut"/>
    <w:link w:val="Textedebulles"/>
    <w:uiPriority w:val="99"/>
    <w:semiHidden/>
    <w:rsid w:val="000F1608"/>
    <w:rPr>
      <w:rFonts w:ascii="Tahoma" w:hAnsi="Tahoma" w:cs="Tahoma"/>
      <w:sz w:val="16"/>
      <w:szCs w:val="16"/>
    </w:rPr>
  </w:style>
  <w:style w:type="paragraph" w:styleId="Rvision">
    <w:name w:val="Revision"/>
    <w:hidden/>
    <w:uiPriority w:val="71"/>
    <w:rsid w:val="0017066F"/>
    <w:rPr>
      <w:rFonts w:ascii="Cambria" w:hAnsi="Cambria"/>
      <w:sz w:val="22"/>
      <w:szCs w:val="24"/>
    </w:rPr>
  </w:style>
  <w:style w:type="character" w:customStyle="1" w:styleId="PieddepageCar">
    <w:name w:val="Pied de page Car"/>
    <w:basedOn w:val="Policepardfaut"/>
    <w:link w:val="Pieddepage"/>
    <w:uiPriority w:val="99"/>
    <w:rsid w:val="00507D6C"/>
    <w:rPr>
      <w:rFonts w:ascii="Calibri" w:hAnsi="Calibri"/>
      <w:sz w:val="16"/>
      <w:szCs w:val="24"/>
    </w:rPr>
  </w:style>
  <w:style w:type="table" w:styleId="Grilledutableau">
    <w:name w:val="Table Grid"/>
    <w:basedOn w:val="TableauNormal"/>
    <w:uiPriority w:val="59"/>
    <w:rsid w:val="00283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BMP_openWindow(%22http://paris.tribunal-administratif.fr%22,%22TestLien%22,%22%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effe.ta-paris@juradm.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57486-A40E-4292-89B1-4C687527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2451</TotalTime>
  <Pages>12</Pages>
  <Words>3940</Words>
  <Characters>21673</Characters>
  <Application>Microsoft Office Word</Application>
  <DocSecurity>0</DocSecurity>
  <Lines>180</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MARCHES PUBLICS DE FOURNITURES COURANTES ET SERVICES</vt:lpstr>
      <vt:lpstr>MARCHES PUBLICS DE FOURNITURES COURANTES ET SERVICES</vt:lpstr>
    </vt:vector>
  </TitlesOfParts>
  <Company>AGYSOFT</Company>
  <LinksUpToDate>false</LinksUpToDate>
  <CharactersWithSpaces>25562</CharactersWithSpaces>
  <SharedDoc>false</SharedDoc>
  <HLinks>
    <vt:vector size="12" baseType="variant">
      <vt:variant>
        <vt:i4>3538965</vt:i4>
      </vt:variant>
      <vt:variant>
        <vt:i4>3</vt:i4>
      </vt:variant>
      <vt:variant>
        <vt:i4>0</vt:i4>
      </vt:variant>
      <vt:variant>
        <vt:i4>5</vt:i4>
      </vt:variant>
      <vt:variant>
        <vt:lpwstr>javascript:BMP_openWindow(%22http://paris.tribunal-administratif.fr%22,%22TestLien%22,%22%22);</vt:lpwstr>
      </vt:variant>
      <vt:variant>
        <vt:lpwstr/>
      </vt:variant>
      <vt:variant>
        <vt:i4>1572917</vt:i4>
      </vt:variant>
      <vt:variant>
        <vt:i4>0</vt:i4>
      </vt:variant>
      <vt:variant>
        <vt:i4>0</vt:i4>
      </vt:variant>
      <vt:variant>
        <vt:i4>5</vt:i4>
      </vt:variant>
      <vt:variant>
        <vt:lpwstr>mailto:greffe.ta-paris@juradm.fr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MARCHES PUBLICS DE FOURNITURES COURANTES ET SERVICES</dc:title>
  <dc:creator>AGYSOFT</dc:creator>
  <cp:lastModifiedBy>NathalieB</cp:lastModifiedBy>
  <cp:revision>30</cp:revision>
  <cp:lastPrinted>2018-08-30T13:35:00Z</cp:lastPrinted>
  <dcterms:created xsi:type="dcterms:W3CDTF">2018-05-02T07:29:00Z</dcterms:created>
  <dcterms:modified xsi:type="dcterms:W3CDTF">2018-09-04T15:33:00Z</dcterms:modified>
</cp:coreProperties>
</file>